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86" w:rsidRPr="001D353A" w:rsidRDefault="00032C86" w:rsidP="00032C86">
      <w:pPr>
        <w:spacing w:before="100" w:beforeAutospacing="1" w:after="100" w:afterAutospacing="1" w:line="240" w:lineRule="auto"/>
        <w:jc w:val="center"/>
        <w:rPr>
          <w:rFonts w:ascii="Times New Roman" w:eastAsia="Times New Roman" w:hAnsi="Times New Roman" w:cs="Times New Roman"/>
          <w:b/>
          <w:color w:val="000000"/>
          <w:sz w:val="28"/>
          <w:szCs w:val="28"/>
          <w:lang w:eastAsia="hr-HR"/>
        </w:rPr>
      </w:pPr>
      <w:r w:rsidRPr="001D353A">
        <w:rPr>
          <w:rFonts w:ascii="Times New Roman" w:eastAsia="Times New Roman" w:hAnsi="Times New Roman" w:cs="Times New Roman"/>
          <w:b/>
          <w:color w:val="000000"/>
          <w:sz w:val="28"/>
          <w:szCs w:val="28"/>
          <w:lang w:eastAsia="hr-HR"/>
        </w:rPr>
        <w:t>OBRAZAC ISKAZA O PROCJENI UČINAKA PROPISA</w:t>
      </w:r>
    </w:p>
    <w:p w:rsidR="001D353A" w:rsidRPr="001D353A" w:rsidRDefault="001D353A" w:rsidP="00EF642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MINISTARSTVO ZDRAVSTVA </w:t>
      </w:r>
    </w:p>
    <w:p w:rsidR="001D353A" w:rsidRPr="001D353A" w:rsidRDefault="00A55BE8" w:rsidP="00F51AC9">
      <w:pPr>
        <w:spacing w:after="0" w:line="240" w:lineRule="auto"/>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Klasa: </w:t>
      </w:r>
    </w:p>
    <w:p w:rsidR="001D353A" w:rsidRDefault="001D353A" w:rsidP="00F51AC9">
      <w:pPr>
        <w:spacing w:after="0" w:line="240" w:lineRule="auto"/>
        <w:rPr>
          <w:rFonts w:ascii="Times New Roman" w:eastAsia="Times New Roman" w:hAnsi="Times New Roman" w:cs="Times New Roman"/>
          <w:color w:val="000000"/>
          <w:sz w:val="28"/>
          <w:szCs w:val="28"/>
          <w:lang w:eastAsia="hr-HR"/>
        </w:rPr>
      </w:pPr>
      <w:proofErr w:type="spellStart"/>
      <w:r w:rsidRPr="001D353A">
        <w:rPr>
          <w:rFonts w:ascii="Times New Roman" w:eastAsia="Times New Roman" w:hAnsi="Times New Roman" w:cs="Times New Roman"/>
          <w:color w:val="000000"/>
          <w:sz w:val="28"/>
          <w:szCs w:val="28"/>
          <w:lang w:eastAsia="hr-HR"/>
        </w:rPr>
        <w:t>Urbroj</w:t>
      </w:r>
      <w:proofErr w:type="spellEnd"/>
      <w:r w:rsidRPr="001D353A">
        <w:rPr>
          <w:rFonts w:ascii="Times New Roman" w:eastAsia="Times New Roman" w:hAnsi="Times New Roman" w:cs="Times New Roman"/>
          <w:color w:val="000000"/>
          <w:sz w:val="28"/>
          <w:szCs w:val="28"/>
          <w:lang w:eastAsia="hr-HR"/>
        </w:rPr>
        <w:t xml:space="preserve">: </w:t>
      </w:r>
    </w:p>
    <w:p w:rsidR="001D353A" w:rsidRDefault="001D353A" w:rsidP="00F51AC9">
      <w:pPr>
        <w:spacing w:after="0" w:line="240" w:lineRule="auto"/>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Zagreb, </w:t>
      </w:r>
      <w:bookmarkStart w:id="0" w:name="_GoBack"/>
      <w:bookmarkEnd w:id="0"/>
    </w:p>
    <w:p w:rsidR="001D353A" w:rsidRDefault="001D353A" w:rsidP="00032C86">
      <w:pPr>
        <w:spacing w:before="100" w:beforeAutospacing="1" w:after="100" w:afterAutospacing="1" w:line="240" w:lineRule="auto"/>
        <w:jc w:val="center"/>
        <w:rPr>
          <w:rFonts w:ascii="Times New Roman" w:eastAsia="Times New Roman" w:hAnsi="Times New Roman" w:cs="Times New Roman"/>
          <w:b/>
          <w:color w:val="000000"/>
          <w:sz w:val="28"/>
          <w:szCs w:val="28"/>
          <w:lang w:eastAsia="hr-HR"/>
        </w:rPr>
      </w:pPr>
      <w:r w:rsidRPr="001D353A">
        <w:rPr>
          <w:rFonts w:ascii="Times New Roman" w:eastAsia="Times New Roman" w:hAnsi="Times New Roman" w:cs="Times New Roman"/>
          <w:b/>
          <w:color w:val="000000"/>
          <w:sz w:val="28"/>
          <w:szCs w:val="28"/>
          <w:lang w:eastAsia="hr-HR"/>
        </w:rPr>
        <w:t>ISKAZ O PROCJENI UČINAKA PROPISA</w:t>
      </w:r>
    </w:p>
    <w:p w:rsidR="001D353A" w:rsidRDefault="001D353A" w:rsidP="00032C86">
      <w:pPr>
        <w:spacing w:before="100" w:beforeAutospacing="1" w:after="100" w:afterAutospacing="1" w:line="240" w:lineRule="auto"/>
        <w:jc w:val="center"/>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ZA</w:t>
      </w:r>
    </w:p>
    <w:p w:rsidR="00032C86" w:rsidRPr="005D067C" w:rsidRDefault="001D353A" w:rsidP="005D067C">
      <w:pPr>
        <w:spacing w:before="100" w:beforeAutospacing="1" w:after="100" w:afterAutospacing="1" w:line="240" w:lineRule="auto"/>
        <w:ind w:left="1416" w:firstLine="708"/>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ZAKON O ZDRAVSTVENOJ ZAŠTITI  </w:t>
      </w:r>
    </w:p>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color w:val="000000"/>
          <w:sz w:val="24"/>
          <w:szCs w:val="24"/>
          <w:lang w:eastAsia="hr-HR"/>
        </w:rPr>
        <w:t xml:space="preserve">UPUTA: Tekst označen </w:t>
      </w:r>
      <w:proofErr w:type="spellStart"/>
      <w:r w:rsidRPr="00032C86">
        <w:rPr>
          <w:rFonts w:ascii="Times New Roman" w:eastAsia="Times New Roman" w:hAnsi="Times New Roman" w:cs="Times New Roman"/>
          <w:i/>
          <w:iCs/>
          <w:color w:val="000000"/>
          <w:sz w:val="24"/>
          <w:szCs w:val="24"/>
          <w:lang w:eastAsia="hr-HR"/>
        </w:rPr>
        <w:t>italicom</w:t>
      </w:r>
      <w:proofErr w:type="spellEnd"/>
      <w:r w:rsidRPr="00032C86">
        <w:rPr>
          <w:rFonts w:ascii="Times New Roman" w:eastAsia="Times New Roman" w:hAnsi="Times New Roman" w:cs="Times New Roman"/>
          <w:color w:val="000000"/>
          <w:sz w:val="24"/>
          <w:szCs w:val="24"/>
          <w:lang w:eastAsia="hr-HR"/>
        </w:rPr>
        <w:t xml:space="preserve"> potrebno je brisati tijekom popunjavanja obrasca.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1. PROBLEM</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47676" w:rsidRDefault="00947676" w:rsidP="0094767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Analizom važećeg Zakona o zdravstvenoj zaštit</w:t>
            </w:r>
            <w:r w:rsidR="0068314C">
              <w:rPr>
                <w:rFonts w:ascii="Times New Roman" w:eastAsia="Times New Roman" w:hAnsi="Times New Roman" w:cs="Times New Roman"/>
                <w:iCs/>
                <w:color w:val="000000"/>
                <w:sz w:val="24"/>
                <w:szCs w:val="24"/>
                <w:lang w:eastAsia="hr-HR"/>
              </w:rPr>
              <w:t>i („Narodne novine“, broj 150/08, 71/10, 139/10, 22/11, 84/11, 12/12, 35/12, 70/12, 82/13, 22/14 i 70/</w:t>
            </w:r>
            <w:r>
              <w:rPr>
                <w:rFonts w:ascii="Times New Roman" w:eastAsia="Times New Roman" w:hAnsi="Times New Roman" w:cs="Times New Roman"/>
                <w:iCs/>
                <w:color w:val="000000"/>
                <w:sz w:val="24"/>
                <w:szCs w:val="24"/>
                <w:lang w:eastAsia="hr-HR"/>
              </w:rPr>
              <w:t xml:space="preserve">16) utvrđeno je da taj zakon ne predstavlja odgovarajući normativni okvir za provedbu reformskih ciljeva reorganizacije sustava zdravstvene zaštite u Republici Hrvatskoj. </w:t>
            </w:r>
          </w:p>
          <w:p w:rsidR="009B0D08" w:rsidRDefault="00CA0649"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Temeljni cilj</w:t>
            </w:r>
            <w:r w:rsidR="00DC571F">
              <w:rPr>
                <w:rFonts w:ascii="Times New Roman" w:eastAsia="Times New Roman" w:hAnsi="Times New Roman" w:cs="Times New Roman"/>
                <w:iCs/>
                <w:color w:val="000000"/>
                <w:sz w:val="24"/>
                <w:szCs w:val="24"/>
                <w:lang w:eastAsia="hr-HR"/>
              </w:rPr>
              <w:t xml:space="preserve"> </w:t>
            </w:r>
            <w:r w:rsidR="001D353A">
              <w:rPr>
                <w:rFonts w:ascii="Times New Roman" w:eastAsia="Times New Roman" w:hAnsi="Times New Roman" w:cs="Times New Roman"/>
                <w:iCs/>
                <w:color w:val="000000"/>
                <w:sz w:val="24"/>
                <w:szCs w:val="24"/>
                <w:lang w:eastAsia="hr-HR"/>
              </w:rPr>
              <w:t>Programa Vlade Republike Hrvatske za mandat 2016.-2020.</w:t>
            </w:r>
            <w:r w:rsidR="00CA77B5">
              <w:rPr>
                <w:rFonts w:ascii="Times New Roman" w:eastAsia="Times New Roman" w:hAnsi="Times New Roman" w:cs="Times New Roman"/>
                <w:iCs/>
                <w:color w:val="000000"/>
                <w:sz w:val="24"/>
                <w:szCs w:val="24"/>
                <w:lang w:eastAsia="hr-HR"/>
              </w:rPr>
              <w:t xml:space="preserve"> </w:t>
            </w:r>
            <w:r w:rsidR="001D353A">
              <w:rPr>
                <w:rFonts w:ascii="Times New Roman" w:eastAsia="Times New Roman" w:hAnsi="Times New Roman" w:cs="Times New Roman"/>
                <w:iCs/>
                <w:color w:val="000000"/>
                <w:sz w:val="24"/>
                <w:szCs w:val="24"/>
                <w:lang w:eastAsia="hr-HR"/>
              </w:rPr>
              <w:t>na području zdravstva jest o</w:t>
            </w:r>
            <w:r w:rsidR="00CA77B5">
              <w:rPr>
                <w:rFonts w:ascii="Times New Roman" w:eastAsia="Times New Roman" w:hAnsi="Times New Roman" w:cs="Times New Roman"/>
                <w:iCs/>
                <w:color w:val="000000"/>
                <w:sz w:val="24"/>
                <w:szCs w:val="24"/>
                <w:lang w:eastAsia="hr-HR"/>
              </w:rPr>
              <w:t xml:space="preserve">siguranje </w:t>
            </w:r>
            <w:r w:rsidR="000238CF">
              <w:rPr>
                <w:rFonts w:ascii="Times New Roman" w:eastAsia="Times New Roman" w:hAnsi="Times New Roman" w:cs="Times New Roman"/>
                <w:iCs/>
                <w:color w:val="000000"/>
                <w:sz w:val="24"/>
                <w:szCs w:val="24"/>
                <w:lang w:eastAsia="hr-HR"/>
              </w:rPr>
              <w:t xml:space="preserve">takvog zdravstvenog sustava koji će biti </w:t>
            </w:r>
            <w:r w:rsidR="001D353A">
              <w:rPr>
                <w:rFonts w:ascii="Times New Roman" w:eastAsia="Times New Roman" w:hAnsi="Times New Roman" w:cs="Times New Roman"/>
                <w:iCs/>
                <w:color w:val="000000"/>
                <w:sz w:val="24"/>
                <w:szCs w:val="24"/>
                <w:lang w:eastAsia="hr-HR"/>
              </w:rPr>
              <w:t>moderan i financijski održiv</w:t>
            </w:r>
            <w:r w:rsidR="00DE6658">
              <w:rPr>
                <w:rFonts w:ascii="Times New Roman" w:eastAsia="Times New Roman" w:hAnsi="Times New Roman" w:cs="Times New Roman"/>
                <w:iCs/>
                <w:color w:val="000000"/>
                <w:sz w:val="24"/>
                <w:szCs w:val="24"/>
                <w:lang w:eastAsia="hr-HR"/>
              </w:rPr>
              <w:t xml:space="preserve"> te</w:t>
            </w:r>
            <w:r w:rsidR="001D353A">
              <w:rPr>
                <w:rFonts w:ascii="Times New Roman" w:eastAsia="Times New Roman" w:hAnsi="Times New Roman" w:cs="Times New Roman"/>
                <w:iCs/>
                <w:color w:val="000000"/>
                <w:sz w:val="24"/>
                <w:szCs w:val="24"/>
                <w:lang w:eastAsia="hr-HR"/>
              </w:rPr>
              <w:t xml:space="preserve"> koji </w:t>
            </w:r>
            <w:r w:rsidR="00DE6658">
              <w:rPr>
                <w:rFonts w:ascii="Times New Roman" w:eastAsia="Times New Roman" w:hAnsi="Times New Roman" w:cs="Times New Roman"/>
                <w:iCs/>
                <w:color w:val="000000"/>
                <w:sz w:val="24"/>
                <w:szCs w:val="24"/>
                <w:lang w:eastAsia="hr-HR"/>
              </w:rPr>
              <w:t xml:space="preserve">će </w:t>
            </w:r>
            <w:r w:rsidR="001D353A">
              <w:rPr>
                <w:rFonts w:ascii="Times New Roman" w:eastAsia="Times New Roman" w:hAnsi="Times New Roman" w:cs="Times New Roman"/>
                <w:iCs/>
                <w:color w:val="000000"/>
                <w:sz w:val="24"/>
                <w:szCs w:val="24"/>
                <w:lang w:eastAsia="hr-HR"/>
              </w:rPr>
              <w:t>građanima pruža</w:t>
            </w:r>
            <w:r w:rsidR="00DE6658">
              <w:rPr>
                <w:rFonts w:ascii="Times New Roman" w:eastAsia="Times New Roman" w:hAnsi="Times New Roman" w:cs="Times New Roman"/>
                <w:iCs/>
                <w:color w:val="000000"/>
                <w:sz w:val="24"/>
                <w:szCs w:val="24"/>
                <w:lang w:eastAsia="hr-HR"/>
              </w:rPr>
              <w:t>ti</w:t>
            </w:r>
            <w:r w:rsidR="001D353A">
              <w:rPr>
                <w:rFonts w:ascii="Times New Roman" w:eastAsia="Times New Roman" w:hAnsi="Times New Roman" w:cs="Times New Roman"/>
                <w:iCs/>
                <w:color w:val="000000"/>
                <w:sz w:val="24"/>
                <w:szCs w:val="24"/>
                <w:lang w:eastAsia="hr-HR"/>
              </w:rPr>
              <w:t xml:space="preserve"> </w:t>
            </w:r>
            <w:r w:rsidR="00DE6658">
              <w:rPr>
                <w:rFonts w:ascii="Times New Roman" w:eastAsia="Times New Roman" w:hAnsi="Times New Roman" w:cs="Times New Roman"/>
                <w:iCs/>
                <w:color w:val="000000"/>
                <w:sz w:val="24"/>
                <w:szCs w:val="24"/>
                <w:lang w:eastAsia="hr-HR"/>
              </w:rPr>
              <w:t>zdravstvenu sigurnost, kao i osigurati</w:t>
            </w:r>
            <w:r w:rsidR="001D353A">
              <w:rPr>
                <w:rFonts w:ascii="Times New Roman" w:eastAsia="Times New Roman" w:hAnsi="Times New Roman" w:cs="Times New Roman"/>
                <w:iCs/>
                <w:color w:val="000000"/>
                <w:sz w:val="24"/>
                <w:szCs w:val="24"/>
                <w:lang w:eastAsia="hr-HR"/>
              </w:rPr>
              <w:t xml:space="preserve"> kvalitet</w:t>
            </w:r>
            <w:r w:rsidR="00DE6658">
              <w:rPr>
                <w:rFonts w:ascii="Times New Roman" w:eastAsia="Times New Roman" w:hAnsi="Times New Roman" w:cs="Times New Roman"/>
                <w:iCs/>
                <w:color w:val="000000"/>
                <w:sz w:val="24"/>
                <w:szCs w:val="24"/>
                <w:lang w:eastAsia="hr-HR"/>
              </w:rPr>
              <w:t>n</w:t>
            </w:r>
            <w:r w:rsidR="001D353A">
              <w:rPr>
                <w:rFonts w:ascii="Times New Roman" w:eastAsia="Times New Roman" w:hAnsi="Times New Roman" w:cs="Times New Roman"/>
                <w:iCs/>
                <w:color w:val="000000"/>
                <w:sz w:val="24"/>
                <w:szCs w:val="24"/>
                <w:lang w:eastAsia="hr-HR"/>
              </w:rPr>
              <w:t xml:space="preserve">u i svima dostupnu zdravstvenu zaštitu na teritoriju Republike Hrvatske. </w:t>
            </w:r>
          </w:p>
          <w:p w:rsidR="000A086E" w:rsidRDefault="00DE6658" w:rsidP="009B0D0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Reorganizacijom sustava zdravstvene zaštite Republike Hrvatske treba ostvariti sljedeće specifične ciljeve:</w:t>
            </w:r>
            <w:r w:rsidR="009B0D08" w:rsidRPr="009B0D08">
              <w:rPr>
                <w:rFonts w:ascii="Times New Roman" w:eastAsia="Times New Roman" w:hAnsi="Times New Roman" w:cs="Times New Roman"/>
                <w:iCs/>
                <w:color w:val="000000"/>
                <w:sz w:val="24"/>
                <w:szCs w:val="24"/>
                <w:lang w:eastAsia="hr-HR"/>
              </w:rPr>
              <w:t xml:space="preserve"> </w:t>
            </w:r>
          </w:p>
          <w:p w:rsidR="000A086E" w:rsidRPr="000A086E" w:rsidRDefault="00DE6658" w:rsidP="000A086E">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d</w:t>
            </w:r>
            <w:r w:rsidR="000A086E" w:rsidRPr="000A086E">
              <w:rPr>
                <w:rFonts w:ascii="Times New Roman" w:eastAsia="Times New Roman" w:hAnsi="Times New Roman" w:cs="Times New Roman"/>
                <w:iCs/>
                <w:color w:val="000000"/>
                <w:sz w:val="24"/>
                <w:szCs w:val="24"/>
                <w:lang w:eastAsia="hr-HR"/>
              </w:rPr>
              <w:t>ecentralizacija zdravstva</w:t>
            </w:r>
          </w:p>
          <w:p w:rsidR="009B0D08" w:rsidRDefault="00DE6658" w:rsidP="009B0D08">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k</w:t>
            </w:r>
            <w:r w:rsidR="005D067C">
              <w:rPr>
                <w:rFonts w:ascii="Times New Roman" w:eastAsia="Times New Roman" w:hAnsi="Times New Roman" w:cs="Times New Roman"/>
                <w:iCs/>
                <w:color w:val="000000"/>
                <w:sz w:val="24"/>
                <w:szCs w:val="24"/>
                <w:lang w:eastAsia="hr-HR"/>
              </w:rPr>
              <w:t>valitetnija primarna zdravstvena zaštita</w:t>
            </w:r>
            <w:r w:rsidR="004B6EE1">
              <w:rPr>
                <w:rFonts w:ascii="Times New Roman" w:eastAsia="Times New Roman" w:hAnsi="Times New Roman" w:cs="Times New Roman"/>
                <w:iCs/>
                <w:color w:val="000000"/>
                <w:sz w:val="24"/>
                <w:szCs w:val="24"/>
                <w:lang w:eastAsia="hr-HR"/>
              </w:rPr>
              <w:t xml:space="preserve"> </w:t>
            </w:r>
          </w:p>
          <w:p w:rsidR="007E793B" w:rsidRPr="00A55BE8" w:rsidRDefault="007E793B" w:rsidP="007E793B">
            <w:pPr>
              <w:pStyle w:val="Odlomakpopisa"/>
              <w:numPr>
                <w:ilvl w:val="0"/>
                <w:numId w:val="2"/>
              </w:numPr>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 xml:space="preserve">jačanje preventivnih aktivnosti </w:t>
            </w:r>
          </w:p>
          <w:p w:rsidR="004B6EE1" w:rsidRPr="00A55BE8" w:rsidRDefault="00DE6658" w:rsidP="001127F9">
            <w:pPr>
              <w:pStyle w:val="Odlomakpopisa"/>
              <w:numPr>
                <w:ilvl w:val="0"/>
                <w:numId w:val="2"/>
              </w:numPr>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b</w:t>
            </w:r>
            <w:r w:rsidR="004B6EE1" w:rsidRPr="00A55BE8">
              <w:rPr>
                <w:rFonts w:ascii="Times New Roman" w:eastAsia="Times New Roman" w:hAnsi="Times New Roman" w:cs="Times New Roman"/>
                <w:iCs/>
                <w:color w:val="000000"/>
                <w:sz w:val="24"/>
                <w:szCs w:val="24"/>
                <w:lang w:eastAsia="hr-HR"/>
              </w:rPr>
              <w:t xml:space="preserve">olja zdravstvena zaštita pacijenata i bolji radni uvjeti </w:t>
            </w:r>
            <w:r w:rsidR="001127F9" w:rsidRPr="00A55BE8">
              <w:rPr>
                <w:rFonts w:ascii="Times New Roman" w:eastAsia="Times New Roman" w:hAnsi="Times New Roman" w:cs="Times New Roman"/>
                <w:iCs/>
                <w:color w:val="000000"/>
                <w:sz w:val="24"/>
                <w:szCs w:val="24"/>
                <w:lang w:eastAsia="hr-HR"/>
              </w:rPr>
              <w:t>liječnicima i drugim zdravstvenim radnicima</w:t>
            </w:r>
          </w:p>
          <w:p w:rsidR="004B6EE1" w:rsidRDefault="00DE6658" w:rsidP="009B0D08">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4B6EE1">
              <w:rPr>
                <w:rFonts w:ascii="Times New Roman" w:eastAsia="Times New Roman" w:hAnsi="Times New Roman" w:cs="Times New Roman"/>
                <w:iCs/>
                <w:color w:val="000000"/>
                <w:sz w:val="24"/>
                <w:szCs w:val="24"/>
                <w:lang w:eastAsia="hr-HR"/>
              </w:rPr>
              <w:t>činkovit sustav hitne medicine</w:t>
            </w:r>
          </w:p>
          <w:p w:rsidR="004B6EE1" w:rsidRDefault="00DE6658" w:rsidP="009B0D08">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k</w:t>
            </w:r>
            <w:r w:rsidR="004B6EE1">
              <w:rPr>
                <w:rFonts w:ascii="Times New Roman" w:eastAsia="Times New Roman" w:hAnsi="Times New Roman" w:cs="Times New Roman"/>
                <w:iCs/>
                <w:color w:val="000000"/>
                <w:sz w:val="24"/>
                <w:szCs w:val="24"/>
                <w:lang w:eastAsia="hr-HR"/>
              </w:rPr>
              <w:t>valitetna bolnička zdravstvena zaštita</w:t>
            </w:r>
          </w:p>
          <w:p w:rsidR="003B10E3"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j</w:t>
            </w:r>
            <w:r w:rsidR="003B10E3">
              <w:rPr>
                <w:rFonts w:ascii="Times New Roman" w:eastAsia="Times New Roman" w:hAnsi="Times New Roman" w:cs="Times New Roman"/>
                <w:iCs/>
                <w:color w:val="000000"/>
                <w:sz w:val="24"/>
                <w:szCs w:val="24"/>
                <w:lang w:eastAsia="hr-HR"/>
              </w:rPr>
              <w:t>ačanje dnevnih bolnica</w:t>
            </w:r>
          </w:p>
          <w:p w:rsidR="005D067C"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5D067C" w:rsidRPr="003B10E3">
              <w:rPr>
                <w:rFonts w:ascii="Times New Roman" w:eastAsia="Times New Roman" w:hAnsi="Times New Roman" w:cs="Times New Roman"/>
                <w:iCs/>
                <w:color w:val="000000"/>
                <w:sz w:val="24"/>
                <w:szCs w:val="24"/>
                <w:lang w:eastAsia="hr-HR"/>
              </w:rPr>
              <w:t xml:space="preserve">napređenje sustava palijativne skrbi </w:t>
            </w:r>
          </w:p>
          <w:p w:rsidR="003B10E3"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3B10E3" w:rsidRPr="003B10E3">
              <w:rPr>
                <w:rFonts w:ascii="Times New Roman" w:eastAsia="Times New Roman" w:hAnsi="Times New Roman" w:cs="Times New Roman"/>
                <w:iCs/>
                <w:color w:val="000000"/>
                <w:sz w:val="24"/>
                <w:szCs w:val="24"/>
                <w:lang w:eastAsia="hr-HR"/>
              </w:rPr>
              <w:t>činkovito upravljanje ljudskim potencijalima u zdravstvu</w:t>
            </w:r>
          </w:p>
          <w:p w:rsidR="005D067C" w:rsidRPr="003B10E3"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5D067C" w:rsidRPr="003B10E3">
              <w:rPr>
                <w:rFonts w:ascii="Times New Roman" w:eastAsia="Times New Roman" w:hAnsi="Times New Roman" w:cs="Times New Roman"/>
                <w:iCs/>
                <w:color w:val="000000"/>
                <w:sz w:val="24"/>
                <w:szCs w:val="24"/>
                <w:lang w:eastAsia="hr-HR"/>
              </w:rPr>
              <w:t>azvoj zdravstvenog turizma</w:t>
            </w:r>
            <w:r w:rsidR="00DC571F">
              <w:rPr>
                <w:rFonts w:ascii="Times New Roman" w:eastAsia="Times New Roman" w:hAnsi="Times New Roman" w:cs="Times New Roman"/>
                <w:iCs/>
                <w:color w:val="000000"/>
                <w:sz w:val="24"/>
                <w:szCs w:val="24"/>
                <w:lang w:eastAsia="hr-HR"/>
              </w:rPr>
              <w:t>.</w:t>
            </w:r>
            <w:r w:rsidR="005D067C" w:rsidRPr="003B10E3">
              <w:rPr>
                <w:rFonts w:ascii="Times New Roman" w:eastAsia="Times New Roman" w:hAnsi="Times New Roman" w:cs="Times New Roman"/>
                <w:iCs/>
                <w:color w:val="000000"/>
                <w:sz w:val="24"/>
                <w:szCs w:val="24"/>
                <w:lang w:eastAsia="hr-HR"/>
              </w:rPr>
              <w:t xml:space="preserve"> </w:t>
            </w:r>
          </w:p>
          <w:p w:rsidR="00DC571F" w:rsidRDefault="00DC571F"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p>
          <w:p w:rsidR="00D70BFC" w:rsidRDefault="00D70BFC" w:rsidP="00032C8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B329CC" w:rsidRPr="00B329CC" w:rsidRDefault="00B329CC" w:rsidP="00032C8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B329CC">
              <w:rPr>
                <w:rFonts w:ascii="Times New Roman" w:eastAsia="Times New Roman" w:hAnsi="Times New Roman" w:cs="Times New Roman"/>
                <w:b/>
                <w:iCs/>
                <w:color w:val="000000"/>
                <w:sz w:val="24"/>
                <w:szCs w:val="24"/>
                <w:lang w:eastAsia="hr-HR"/>
              </w:rPr>
              <w:lastRenderedPageBreak/>
              <w:t xml:space="preserve">1.1. Primarna zdravstvena zaštita </w:t>
            </w:r>
          </w:p>
          <w:p w:rsidR="00D70BFC" w:rsidRDefault="00D70BFC"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B329CC" w:rsidRPr="00B329CC" w:rsidRDefault="00B329CC"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B329CC">
              <w:rPr>
                <w:rFonts w:ascii="Times New Roman" w:eastAsia="Times New Roman" w:hAnsi="Times New Roman" w:cs="Times New Roman"/>
                <w:b/>
                <w:iCs/>
                <w:color w:val="000000"/>
                <w:sz w:val="24"/>
                <w:szCs w:val="24"/>
                <w:lang w:eastAsia="hr-HR"/>
              </w:rPr>
              <w:t>1.1.1.  Uloga doma zdravlja</w:t>
            </w:r>
          </w:p>
          <w:p w:rsidR="00B07756" w:rsidRDefault="00B07756" w:rsidP="00B329CC">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B07756">
              <w:rPr>
                <w:rFonts w:ascii="Times New Roman" w:eastAsia="Times New Roman" w:hAnsi="Times New Roman" w:cs="Times New Roman"/>
                <w:iCs/>
                <w:color w:val="000000"/>
                <w:sz w:val="24"/>
                <w:szCs w:val="24"/>
                <w:lang w:eastAsia="hr-HR"/>
              </w:rPr>
              <w:t>Primarna zdravstvena zaštita osnovni je nositelj zdravstvene zaštite građana Republike Hrvatske. Organizacija primarne zdravstvene zaštite</w:t>
            </w:r>
            <w:r>
              <w:rPr>
                <w:rFonts w:ascii="Times New Roman" w:eastAsia="Times New Roman" w:hAnsi="Times New Roman" w:cs="Times New Roman"/>
                <w:iCs/>
                <w:color w:val="000000"/>
                <w:sz w:val="24"/>
                <w:szCs w:val="24"/>
                <w:lang w:eastAsia="hr-HR"/>
              </w:rPr>
              <w:t>,</w:t>
            </w:r>
            <w:r w:rsidRPr="00B07756">
              <w:rPr>
                <w:rFonts w:ascii="Times New Roman" w:eastAsia="Times New Roman" w:hAnsi="Times New Roman" w:cs="Times New Roman"/>
                <w:iCs/>
                <w:color w:val="000000"/>
                <w:sz w:val="24"/>
                <w:szCs w:val="24"/>
                <w:lang w:eastAsia="hr-HR"/>
              </w:rPr>
              <w:t xml:space="preserve"> </w:t>
            </w:r>
            <w:r>
              <w:rPr>
                <w:rFonts w:ascii="Times New Roman" w:eastAsia="Times New Roman" w:hAnsi="Times New Roman" w:cs="Times New Roman"/>
                <w:iCs/>
                <w:color w:val="000000"/>
                <w:sz w:val="24"/>
                <w:szCs w:val="24"/>
                <w:lang w:eastAsia="hr-HR"/>
              </w:rPr>
              <w:t>sukladno važećem</w:t>
            </w:r>
            <w:r w:rsidRPr="00B07756">
              <w:rPr>
                <w:rFonts w:ascii="Times New Roman" w:eastAsia="Times New Roman" w:hAnsi="Times New Roman" w:cs="Times New Roman"/>
                <w:iCs/>
                <w:color w:val="000000"/>
                <w:sz w:val="24"/>
                <w:szCs w:val="24"/>
                <w:lang w:eastAsia="hr-HR"/>
              </w:rPr>
              <w:t xml:space="preserve"> zakonskom rješenju</w:t>
            </w:r>
            <w:r>
              <w:rPr>
                <w:rFonts w:ascii="Times New Roman" w:eastAsia="Times New Roman" w:hAnsi="Times New Roman" w:cs="Times New Roman"/>
                <w:iCs/>
                <w:color w:val="000000"/>
                <w:sz w:val="24"/>
                <w:szCs w:val="24"/>
                <w:lang w:eastAsia="hr-HR"/>
              </w:rPr>
              <w:t>,</w:t>
            </w:r>
            <w:r w:rsidRPr="00B07756">
              <w:rPr>
                <w:rFonts w:ascii="Times New Roman" w:eastAsia="Times New Roman" w:hAnsi="Times New Roman" w:cs="Times New Roman"/>
                <w:iCs/>
                <w:color w:val="000000"/>
                <w:sz w:val="24"/>
                <w:szCs w:val="24"/>
                <w:lang w:eastAsia="hr-HR"/>
              </w:rPr>
              <w:t xml:space="preserve"> </w:t>
            </w:r>
            <w:r>
              <w:rPr>
                <w:rFonts w:ascii="Times New Roman" w:eastAsia="Times New Roman" w:hAnsi="Times New Roman" w:cs="Times New Roman"/>
                <w:iCs/>
                <w:color w:val="000000"/>
                <w:sz w:val="24"/>
                <w:szCs w:val="24"/>
                <w:lang w:eastAsia="hr-HR"/>
              </w:rPr>
              <w:t>u smislu centra</w:t>
            </w:r>
            <w:r w:rsidRPr="00B07756">
              <w:rPr>
                <w:rFonts w:ascii="Times New Roman" w:eastAsia="Times New Roman" w:hAnsi="Times New Roman" w:cs="Times New Roman"/>
                <w:iCs/>
                <w:color w:val="000000"/>
                <w:sz w:val="24"/>
                <w:szCs w:val="24"/>
                <w:lang w:eastAsia="hr-HR"/>
              </w:rPr>
              <w:t xml:space="preserve"> organizacije na županijskoj razini u obliku domova zdravlja ne daje odgovarajući mehanizam za </w:t>
            </w:r>
            <w:r w:rsidRPr="00A55BE8">
              <w:rPr>
                <w:rFonts w:ascii="Times New Roman" w:eastAsia="Times New Roman" w:hAnsi="Times New Roman" w:cs="Times New Roman"/>
                <w:iCs/>
                <w:color w:val="000000"/>
                <w:sz w:val="24"/>
                <w:szCs w:val="24"/>
                <w:lang w:eastAsia="hr-HR"/>
              </w:rPr>
              <w:t xml:space="preserve">ostvarenje </w:t>
            </w:r>
            <w:r w:rsidR="002C1516" w:rsidRPr="00A55BE8">
              <w:rPr>
                <w:rFonts w:ascii="Times New Roman" w:eastAsia="Times New Roman" w:hAnsi="Times New Roman" w:cs="Times New Roman"/>
                <w:iCs/>
                <w:color w:val="000000"/>
                <w:sz w:val="24"/>
                <w:szCs w:val="24"/>
                <w:lang w:eastAsia="hr-HR"/>
              </w:rPr>
              <w:t xml:space="preserve">svih </w:t>
            </w:r>
            <w:r w:rsidRPr="00A55BE8">
              <w:rPr>
                <w:rFonts w:ascii="Times New Roman" w:eastAsia="Times New Roman" w:hAnsi="Times New Roman" w:cs="Times New Roman"/>
                <w:iCs/>
                <w:color w:val="000000"/>
                <w:sz w:val="24"/>
                <w:szCs w:val="24"/>
                <w:lang w:eastAsia="hr-HR"/>
              </w:rPr>
              <w:t xml:space="preserve">zacrtanih zadaća. Jačanje primarne zdravstvene zaštite moguće je promjenom podloge za utvrđivanje mjera kroz jasnije zakonsko određenje načina i oblika organizacije </w:t>
            </w:r>
            <w:r w:rsidR="002C1516" w:rsidRPr="00A55BE8">
              <w:rPr>
                <w:rFonts w:ascii="Times New Roman" w:eastAsia="Times New Roman" w:hAnsi="Times New Roman" w:cs="Times New Roman"/>
                <w:iCs/>
                <w:color w:val="000000"/>
                <w:sz w:val="24"/>
                <w:szCs w:val="24"/>
                <w:lang w:eastAsia="hr-HR"/>
              </w:rPr>
              <w:t>djelatnosti primarne razine zdravstvene zaštite</w:t>
            </w:r>
            <w:r w:rsidRPr="00B07756">
              <w:rPr>
                <w:rFonts w:ascii="Times New Roman" w:eastAsia="Times New Roman" w:hAnsi="Times New Roman" w:cs="Times New Roman"/>
                <w:iCs/>
                <w:color w:val="000000"/>
                <w:sz w:val="24"/>
                <w:szCs w:val="24"/>
                <w:lang w:eastAsia="hr-HR"/>
              </w:rPr>
              <w:t xml:space="preserve">, uvođenje </w:t>
            </w:r>
            <w:r>
              <w:rPr>
                <w:rFonts w:ascii="Times New Roman" w:eastAsia="Times New Roman" w:hAnsi="Times New Roman" w:cs="Times New Roman"/>
                <w:iCs/>
                <w:color w:val="000000"/>
                <w:sz w:val="24"/>
                <w:szCs w:val="24"/>
                <w:lang w:eastAsia="hr-HR"/>
              </w:rPr>
              <w:t>usluga specijalističko-konzilijarne zdravstvene zaštite</w:t>
            </w:r>
            <w:r w:rsidRPr="00B07756">
              <w:rPr>
                <w:rFonts w:ascii="Times New Roman" w:eastAsia="Times New Roman" w:hAnsi="Times New Roman" w:cs="Times New Roman"/>
                <w:iCs/>
                <w:color w:val="000000"/>
                <w:sz w:val="24"/>
                <w:szCs w:val="24"/>
                <w:lang w:eastAsia="hr-HR"/>
              </w:rPr>
              <w:t>, a u sporadičnim slučajevima</w:t>
            </w:r>
            <w:r>
              <w:rPr>
                <w:rFonts w:ascii="Times New Roman" w:eastAsia="Times New Roman" w:hAnsi="Times New Roman" w:cs="Times New Roman"/>
                <w:iCs/>
                <w:color w:val="000000"/>
                <w:sz w:val="24"/>
                <w:szCs w:val="24"/>
                <w:lang w:eastAsia="hr-HR"/>
              </w:rPr>
              <w:t>,</w:t>
            </w:r>
            <w:r w:rsidRPr="00B07756">
              <w:rPr>
                <w:rFonts w:ascii="Times New Roman" w:eastAsia="Times New Roman" w:hAnsi="Times New Roman" w:cs="Times New Roman"/>
                <w:iCs/>
                <w:color w:val="000000"/>
                <w:sz w:val="24"/>
                <w:szCs w:val="24"/>
                <w:lang w:eastAsia="hr-HR"/>
              </w:rPr>
              <w:t xml:space="preserve"> u ovisnosti o geografskom određenju i gustoći naseljenosti, i dijela stacionarnih oblika, a sve na razini domova zdravlja. Jačanjem domova zdravlja potrebno je jasnije razgraničiti ulogu koncesija u odnosu na dio izvan koncesija, prema odobrenim djelatnostima, kao i jačanje u</w:t>
            </w:r>
            <w:r>
              <w:rPr>
                <w:rFonts w:ascii="Times New Roman" w:eastAsia="Times New Roman" w:hAnsi="Times New Roman" w:cs="Times New Roman"/>
                <w:iCs/>
                <w:color w:val="000000"/>
                <w:sz w:val="24"/>
                <w:szCs w:val="24"/>
                <w:lang w:eastAsia="hr-HR"/>
              </w:rPr>
              <w:t xml:space="preserve">loge koncesionara i </w:t>
            </w:r>
            <w:proofErr w:type="spellStart"/>
            <w:r>
              <w:rPr>
                <w:rFonts w:ascii="Times New Roman" w:eastAsia="Times New Roman" w:hAnsi="Times New Roman" w:cs="Times New Roman"/>
                <w:iCs/>
                <w:color w:val="000000"/>
                <w:sz w:val="24"/>
                <w:szCs w:val="24"/>
                <w:lang w:eastAsia="hr-HR"/>
              </w:rPr>
              <w:t>koncedenta</w:t>
            </w:r>
            <w:proofErr w:type="spellEnd"/>
            <w:r>
              <w:rPr>
                <w:rFonts w:ascii="Times New Roman" w:eastAsia="Times New Roman" w:hAnsi="Times New Roman" w:cs="Times New Roman"/>
                <w:iCs/>
                <w:color w:val="000000"/>
                <w:sz w:val="24"/>
                <w:szCs w:val="24"/>
                <w:lang w:eastAsia="hr-HR"/>
              </w:rPr>
              <w:t xml:space="preserve"> te njihova </w:t>
            </w:r>
            <w:r w:rsidRPr="00B07756">
              <w:rPr>
                <w:rFonts w:ascii="Times New Roman" w:eastAsia="Times New Roman" w:hAnsi="Times New Roman" w:cs="Times New Roman"/>
                <w:iCs/>
                <w:color w:val="000000"/>
                <w:sz w:val="24"/>
                <w:szCs w:val="24"/>
                <w:lang w:eastAsia="hr-HR"/>
              </w:rPr>
              <w:t xml:space="preserve">prava i </w:t>
            </w:r>
            <w:r>
              <w:rPr>
                <w:rFonts w:ascii="Times New Roman" w:eastAsia="Times New Roman" w:hAnsi="Times New Roman" w:cs="Times New Roman"/>
                <w:iCs/>
                <w:color w:val="000000"/>
                <w:sz w:val="24"/>
                <w:szCs w:val="24"/>
                <w:lang w:eastAsia="hr-HR"/>
              </w:rPr>
              <w:t>obveze</w:t>
            </w:r>
            <w:r w:rsidRPr="00B07756">
              <w:rPr>
                <w:rFonts w:ascii="Times New Roman" w:eastAsia="Times New Roman" w:hAnsi="Times New Roman" w:cs="Times New Roman"/>
                <w:iCs/>
                <w:color w:val="000000"/>
                <w:sz w:val="24"/>
                <w:szCs w:val="24"/>
                <w:lang w:eastAsia="hr-HR"/>
              </w:rPr>
              <w:t xml:space="preserve"> </w:t>
            </w:r>
            <w:r w:rsidR="00FA319F">
              <w:rPr>
                <w:rFonts w:ascii="Times New Roman" w:eastAsia="Times New Roman" w:hAnsi="Times New Roman" w:cs="Times New Roman"/>
                <w:iCs/>
                <w:color w:val="000000"/>
                <w:sz w:val="24"/>
                <w:szCs w:val="24"/>
                <w:lang w:eastAsia="hr-HR"/>
              </w:rPr>
              <w:t>u obavljanju djelatnosti na razini primarne zdravstvene zaštite</w:t>
            </w:r>
            <w:r w:rsidRPr="00B07756">
              <w:rPr>
                <w:rFonts w:ascii="Times New Roman" w:eastAsia="Times New Roman" w:hAnsi="Times New Roman" w:cs="Times New Roman"/>
                <w:iCs/>
                <w:color w:val="000000"/>
                <w:sz w:val="24"/>
                <w:szCs w:val="24"/>
                <w:lang w:eastAsia="hr-HR"/>
              </w:rPr>
              <w:t>.</w:t>
            </w:r>
          </w:p>
          <w:p w:rsidR="00D70BFC" w:rsidRDefault="00D70BFC"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B329CC" w:rsidRPr="003C02C1" w:rsidRDefault="003C02C1"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3C02C1">
              <w:rPr>
                <w:rFonts w:ascii="Times New Roman" w:eastAsia="Times New Roman" w:hAnsi="Times New Roman" w:cs="Times New Roman"/>
                <w:b/>
                <w:iCs/>
                <w:color w:val="000000"/>
                <w:sz w:val="24"/>
                <w:szCs w:val="24"/>
                <w:lang w:eastAsia="hr-HR"/>
              </w:rPr>
              <w:t>1.1.2.</w:t>
            </w:r>
            <w:r w:rsidR="00506FB7">
              <w:rPr>
                <w:rFonts w:ascii="Times New Roman" w:eastAsia="Times New Roman" w:hAnsi="Times New Roman" w:cs="Times New Roman"/>
                <w:b/>
                <w:iCs/>
                <w:color w:val="000000"/>
                <w:sz w:val="24"/>
                <w:szCs w:val="24"/>
                <w:lang w:eastAsia="hr-HR"/>
              </w:rPr>
              <w:t xml:space="preserve"> </w:t>
            </w:r>
            <w:r>
              <w:rPr>
                <w:rFonts w:ascii="Times New Roman" w:eastAsia="Times New Roman" w:hAnsi="Times New Roman" w:cs="Times New Roman"/>
                <w:b/>
                <w:iCs/>
                <w:color w:val="000000"/>
                <w:sz w:val="24"/>
                <w:szCs w:val="24"/>
                <w:lang w:eastAsia="hr-HR"/>
              </w:rPr>
              <w:t>Koncesije i z</w:t>
            </w:r>
            <w:r w:rsidR="00B329CC" w:rsidRPr="003C02C1">
              <w:rPr>
                <w:rFonts w:ascii="Times New Roman" w:eastAsia="Times New Roman" w:hAnsi="Times New Roman" w:cs="Times New Roman"/>
                <w:b/>
                <w:iCs/>
                <w:color w:val="000000"/>
                <w:sz w:val="24"/>
                <w:szCs w:val="24"/>
                <w:lang w:eastAsia="hr-HR"/>
              </w:rPr>
              <w:t>akupci</w:t>
            </w:r>
          </w:p>
          <w:p w:rsidR="00B07756" w:rsidRDefault="00B329CC" w:rsidP="000C056A">
            <w:pPr>
              <w:spacing w:after="0" w:line="240" w:lineRule="auto"/>
              <w:jc w:val="both"/>
              <w:rPr>
                <w:rFonts w:ascii="Times New Roman" w:eastAsia="Times New Roman" w:hAnsi="Times New Roman" w:cs="Times New Roman"/>
                <w:iCs/>
                <w:color w:val="000000"/>
                <w:sz w:val="24"/>
                <w:szCs w:val="24"/>
                <w:lang w:eastAsia="hr-HR"/>
              </w:rPr>
            </w:pPr>
            <w:r w:rsidRPr="00B329CC">
              <w:rPr>
                <w:rFonts w:ascii="Times New Roman" w:eastAsia="Times New Roman" w:hAnsi="Times New Roman" w:cs="Times New Roman"/>
                <w:iCs/>
                <w:color w:val="000000"/>
                <w:sz w:val="24"/>
                <w:szCs w:val="24"/>
                <w:lang w:eastAsia="hr-HR"/>
              </w:rPr>
              <w:t xml:space="preserve">Uvođenjem instituta koncesija Zakonom o zdravstvenoj zaštiti iz 2008. godine započeo je proces reforme zatečenog sustava zakupa i privatnih ugovornih ordinacija u primarnoj zdravstvenoj zaštiti u novi jedinstveni oblik koncesija. </w:t>
            </w:r>
          </w:p>
          <w:p w:rsidR="00D70BFC" w:rsidRDefault="00432F11" w:rsidP="000C056A">
            <w:pPr>
              <w:spacing w:after="0"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Zakonom je potrebno preciznije</w:t>
            </w:r>
            <w:r w:rsidR="00B329CC" w:rsidRPr="00B329CC">
              <w:rPr>
                <w:rFonts w:ascii="Times New Roman" w:eastAsia="Times New Roman" w:hAnsi="Times New Roman" w:cs="Times New Roman"/>
                <w:iCs/>
                <w:color w:val="000000"/>
                <w:sz w:val="24"/>
                <w:szCs w:val="24"/>
                <w:lang w:eastAsia="hr-HR"/>
              </w:rPr>
              <w:t xml:space="preserve"> regulirati postupak davanja koncesije za obavljanje javne zdravstvene službe (s posebnim osvrtom na kriterije za davanje koncesije sljedeće nakon koncesije koju koncesionar koristi po sada važećim propisima) </w:t>
            </w:r>
            <w:r w:rsidR="00681145">
              <w:rPr>
                <w:rFonts w:ascii="Times New Roman" w:eastAsia="Times New Roman" w:hAnsi="Times New Roman" w:cs="Times New Roman"/>
                <w:iCs/>
                <w:color w:val="000000"/>
                <w:sz w:val="24"/>
                <w:szCs w:val="24"/>
                <w:lang w:eastAsia="hr-HR"/>
              </w:rPr>
              <w:t xml:space="preserve">te </w:t>
            </w:r>
            <w:r w:rsidR="00B329CC" w:rsidRPr="00B329CC">
              <w:rPr>
                <w:rFonts w:ascii="Times New Roman" w:eastAsia="Times New Roman" w:hAnsi="Times New Roman" w:cs="Times New Roman"/>
                <w:iCs/>
                <w:color w:val="000000"/>
                <w:sz w:val="24"/>
                <w:szCs w:val="24"/>
                <w:lang w:eastAsia="hr-HR"/>
              </w:rPr>
              <w:t xml:space="preserve">regulirati na koji način novi koncesionar ostvaruje pravo na raspolaganje prostorom doma zdravlja u čijoj ordinaciji radi kao zdravstveni radnik u radnom odnosu u domu zdravlja, a javlja se na </w:t>
            </w:r>
            <w:r w:rsidR="001754F7">
              <w:rPr>
                <w:rFonts w:ascii="Times New Roman" w:eastAsia="Times New Roman" w:hAnsi="Times New Roman" w:cs="Times New Roman"/>
                <w:iCs/>
                <w:color w:val="000000"/>
                <w:sz w:val="24"/>
                <w:szCs w:val="24"/>
                <w:lang w:eastAsia="hr-HR"/>
              </w:rPr>
              <w:t>natječaj za dobivanje koncesije</w:t>
            </w:r>
            <w:r w:rsidR="00B329CC" w:rsidRPr="00B329CC">
              <w:rPr>
                <w:rFonts w:ascii="Times New Roman" w:eastAsia="Times New Roman" w:hAnsi="Times New Roman" w:cs="Times New Roman"/>
                <w:iCs/>
                <w:color w:val="000000"/>
                <w:sz w:val="24"/>
                <w:szCs w:val="24"/>
                <w:lang w:eastAsia="hr-HR"/>
              </w:rPr>
              <w:t xml:space="preserve">. </w:t>
            </w:r>
            <w:r w:rsidR="001754F7">
              <w:rPr>
                <w:rFonts w:ascii="Times New Roman" w:eastAsia="Times New Roman" w:hAnsi="Times New Roman" w:cs="Times New Roman"/>
                <w:iCs/>
                <w:color w:val="000000"/>
                <w:sz w:val="24"/>
                <w:szCs w:val="24"/>
                <w:lang w:eastAsia="hr-HR"/>
              </w:rPr>
              <w:t>Ne</w:t>
            </w:r>
            <w:r w:rsidR="001754F7" w:rsidRPr="001754F7">
              <w:rPr>
                <w:rFonts w:ascii="Times New Roman" w:eastAsia="Times New Roman" w:hAnsi="Times New Roman" w:cs="Times New Roman"/>
                <w:iCs/>
                <w:color w:val="000000"/>
                <w:sz w:val="24"/>
                <w:szCs w:val="24"/>
                <w:lang w:eastAsia="hr-HR"/>
              </w:rPr>
              <w:t xml:space="preserve"> manje važno je i jasnije </w:t>
            </w:r>
            <w:r w:rsidR="001754F7">
              <w:rPr>
                <w:rFonts w:ascii="Times New Roman" w:eastAsia="Times New Roman" w:hAnsi="Times New Roman" w:cs="Times New Roman"/>
                <w:iCs/>
                <w:color w:val="000000"/>
                <w:sz w:val="24"/>
                <w:szCs w:val="24"/>
                <w:lang w:eastAsia="hr-HR"/>
              </w:rPr>
              <w:t>normativno definiranje slučajeva prestanka koncesije (primjerice prestanak koncesije ispunjenjem uvjeta za stjecanje prava na mirovinu)</w:t>
            </w:r>
            <w:r w:rsidR="001754F7" w:rsidRPr="001754F7">
              <w:rPr>
                <w:rFonts w:ascii="Times New Roman" w:eastAsia="Times New Roman" w:hAnsi="Times New Roman" w:cs="Times New Roman"/>
                <w:iCs/>
                <w:color w:val="000000"/>
                <w:sz w:val="24"/>
                <w:szCs w:val="24"/>
                <w:lang w:eastAsia="hr-HR"/>
              </w:rPr>
              <w:t xml:space="preserve"> te jasn</w:t>
            </w:r>
            <w:r w:rsidR="001754F7">
              <w:rPr>
                <w:rFonts w:ascii="Times New Roman" w:eastAsia="Times New Roman" w:hAnsi="Times New Roman" w:cs="Times New Roman"/>
                <w:iCs/>
                <w:color w:val="000000"/>
                <w:sz w:val="24"/>
                <w:szCs w:val="24"/>
                <w:lang w:eastAsia="hr-HR"/>
              </w:rPr>
              <w:t>ije utvrđivanje prava i obveza</w:t>
            </w:r>
            <w:r w:rsidR="001754F7" w:rsidRPr="001754F7">
              <w:rPr>
                <w:rFonts w:ascii="Times New Roman" w:eastAsia="Times New Roman" w:hAnsi="Times New Roman" w:cs="Times New Roman"/>
                <w:iCs/>
                <w:color w:val="000000"/>
                <w:sz w:val="24"/>
                <w:szCs w:val="24"/>
                <w:lang w:eastAsia="hr-HR"/>
              </w:rPr>
              <w:t xml:space="preserve"> </w:t>
            </w:r>
            <w:r w:rsidR="001754F7">
              <w:rPr>
                <w:rFonts w:ascii="Times New Roman" w:eastAsia="Times New Roman" w:hAnsi="Times New Roman" w:cs="Times New Roman"/>
                <w:iCs/>
                <w:color w:val="000000"/>
                <w:sz w:val="24"/>
                <w:szCs w:val="24"/>
                <w:lang w:eastAsia="hr-HR"/>
              </w:rPr>
              <w:t>pri prestanku rada</w:t>
            </w:r>
            <w:r w:rsidR="00FA319F">
              <w:rPr>
                <w:rFonts w:ascii="Times New Roman" w:eastAsia="Times New Roman" w:hAnsi="Times New Roman" w:cs="Times New Roman"/>
                <w:iCs/>
                <w:color w:val="000000"/>
                <w:sz w:val="24"/>
                <w:szCs w:val="24"/>
                <w:lang w:eastAsia="hr-HR"/>
              </w:rPr>
              <w:t xml:space="preserve"> na temelju koncesije</w:t>
            </w:r>
            <w:r w:rsidR="001754F7">
              <w:rPr>
                <w:rFonts w:ascii="Times New Roman" w:eastAsia="Times New Roman" w:hAnsi="Times New Roman" w:cs="Times New Roman"/>
                <w:iCs/>
                <w:color w:val="000000"/>
                <w:sz w:val="24"/>
                <w:szCs w:val="24"/>
                <w:lang w:eastAsia="hr-HR"/>
              </w:rPr>
              <w:t xml:space="preserve">, </w:t>
            </w:r>
            <w:r w:rsidR="001754F7" w:rsidRPr="001754F7">
              <w:rPr>
                <w:rFonts w:ascii="Times New Roman" w:eastAsia="Times New Roman" w:hAnsi="Times New Roman" w:cs="Times New Roman"/>
                <w:iCs/>
                <w:color w:val="000000"/>
                <w:sz w:val="24"/>
                <w:szCs w:val="24"/>
                <w:lang w:eastAsia="hr-HR"/>
              </w:rPr>
              <w:t xml:space="preserve">što </w:t>
            </w:r>
            <w:r w:rsidR="001754F7">
              <w:rPr>
                <w:rFonts w:ascii="Times New Roman" w:eastAsia="Times New Roman" w:hAnsi="Times New Roman" w:cs="Times New Roman"/>
                <w:iCs/>
                <w:color w:val="000000"/>
                <w:sz w:val="24"/>
                <w:szCs w:val="24"/>
                <w:lang w:eastAsia="hr-HR"/>
              </w:rPr>
              <w:t>važećim zakonskim rješenjem</w:t>
            </w:r>
            <w:r w:rsidR="001754F7" w:rsidRPr="001754F7">
              <w:rPr>
                <w:rFonts w:ascii="Times New Roman" w:eastAsia="Times New Roman" w:hAnsi="Times New Roman" w:cs="Times New Roman"/>
                <w:iCs/>
                <w:color w:val="000000"/>
                <w:sz w:val="24"/>
                <w:szCs w:val="24"/>
                <w:lang w:eastAsia="hr-HR"/>
              </w:rPr>
              <w:t xml:space="preserve"> nije </w:t>
            </w:r>
            <w:r w:rsidR="001754F7">
              <w:rPr>
                <w:rFonts w:ascii="Times New Roman" w:eastAsia="Times New Roman" w:hAnsi="Times New Roman" w:cs="Times New Roman"/>
                <w:iCs/>
                <w:color w:val="000000"/>
                <w:sz w:val="24"/>
                <w:szCs w:val="24"/>
                <w:lang w:eastAsia="hr-HR"/>
              </w:rPr>
              <w:t>u potpunosti</w:t>
            </w:r>
            <w:r w:rsidR="001754F7" w:rsidRPr="001754F7">
              <w:rPr>
                <w:rFonts w:ascii="Times New Roman" w:eastAsia="Times New Roman" w:hAnsi="Times New Roman" w:cs="Times New Roman"/>
                <w:iCs/>
                <w:color w:val="000000"/>
                <w:sz w:val="24"/>
                <w:szCs w:val="24"/>
                <w:lang w:eastAsia="hr-HR"/>
              </w:rPr>
              <w:t xml:space="preserve"> uređeno.</w:t>
            </w:r>
            <w:r w:rsidR="001754F7">
              <w:rPr>
                <w:rFonts w:ascii="Times New Roman" w:eastAsia="Times New Roman" w:hAnsi="Times New Roman" w:cs="Times New Roman"/>
                <w:iCs/>
                <w:color w:val="000000"/>
                <w:sz w:val="24"/>
                <w:szCs w:val="24"/>
                <w:lang w:eastAsia="hr-HR"/>
              </w:rPr>
              <w:t xml:space="preserve"> </w:t>
            </w: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1754F7">
            <w:pPr>
              <w:spacing w:after="0" w:line="240" w:lineRule="auto"/>
              <w:jc w:val="center"/>
              <w:rPr>
                <w:rFonts w:ascii="Times New Roman" w:eastAsia="Times New Roman" w:hAnsi="Times New Roman" w:cs="Times New Roman"/>
                <w:iCs/>
                <w:color w:val="000000"/>
                <w:sz w:val="24"/>
                <w:szCs w:val="24"/>
                <w:lang w:eastAsia="hr-HR"/>
              </w:rPr>
            </w:pPr>
          </w:p>
          <w:p w:rsidR="00D70BFC" w:rsidRDefault="00575064" w:rsidP="001754F7">
            <w:pPr>
              <w:spacing w:after="0" w:line="240" w:lineRule="auto"/>
              <w:jc w:val="cente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lastRenderedPageBreak/>
              <w:t>Tablica 1. Ukupno zaposleni u primarnoj zdravstvenoj zaštiti 2016. i 2017.</w:t>
            </w:r>
          </w:p>
          <w:p w:rsidR="00D70BFC" w:rsidRDefault="00D70BFC" w:rsidP="001754F7">
            <w:pPr>
              <w:spacing w:after="0" w:line="240" w:lineRule="auto"/>
              <w:jc w:val="center"/>
              <w:rPr>
                <w:rFonts w:ascii="Times New Roman" w:eastAsia="Times New Roman" w:hAnsi="Times New Roman" w:cs="Times New Roman"/>
                <w:b/>
                <w:iCs/>
                <w:color w:val="000000"/>
                <w:sz w:val="24"/>
                <w:szCs w:val="24"/>
                <w:lang w:eastAsia="hr-HR"/>
              </w:rPr>
            </w:pPr>
          </w:p>
          <w:tbl>
            <w:tblPr>
              <w:tblW w:w="6304" w:type="dxa"/>
              <w:jc w:val="center"/>
              <w:tblCellMar>
                <w:left w:w="0" w:type="dxa"/>
                <w:right w:w="0" w:type="dxa"/>
              </w:tblCellMar>
              <w:tblLook w:val="0600" w:firstRow="0" w:lastRow="0" w:firstColumn="0" w:lastColumn="0" w:noHBand="1" w:noVBand="1"/>
            </w:tblPr>
            <w:tblGrid>
              <w:gridCol w:w="102"/>
              <w:gridCol w:w="1079"/>
              <w:gridCol w:w="493"/>
              <w:gridCol w:w="491"/>
              <w:gridCol w:w="469"/>
              <w:gridCol w:w="469"/>
              <w:gridCol w:w="534"/>
              <w:gridCol w:w="469"/>
              <w:gridCol w:w="555"/>
              <w:gridCol w:w="517"/>
              <w:gridCol w:w="584"/>
              <w:gridCol w:w="518"/>
              <w:gridCol w:w="482"/>
              <w:gridCol w:w="469"/>
              <w:gridCol w:w="493"/>
            </w:tblGrid>
            <w:tr w:rsidR="00575064" w:rsidRPr="001E216D" w:rsidTr="00575064">
              <w:trPr>
                <w:trHeight w:val="338"/>
                <w:jc w:val="center"/>
              </w:trPr>
              <w:tc>
                <w:tcPr>
                  <w:tcW w:w="1630" w:type="dxa"/>
                  <w:gridSpan w:val="2"/>
                  <w:vMerge w:val="restart"/>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1754F7">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 </w:t>
                  </w:r>
                </w:p>
              </w:tc>
              <w:tc>
                <w:tcPr>
                  <w:tcW w:w="3236" w:type="dxa"/>
                  <w:gridSpan w:val="9"/>
                  <w:tcBorders>
                    <w:top w:val="single" w:sz="4" w:space="0" w:color="000000"/>
                    <w:left w:val="single" w:sz="4" w:space="0" w:color="000000"/>
                    <w:bottom w:val="single" w:sz="4" w:space="0" w:color="000000"/>
                    <w:right w:val="single" w:sz="4" w:space="0" w:color="000000"/>
                  </w:tcBorders>
                  <w:shd w:val="clear" w:color="auto" w:fill="B8CCE4"/>
                  <w:tcMar>
                    <w:top w:w="10" w:type="dxa"/>
                    <w:left w:w="10" w:type="dxa"/>
                    <w:bottom w:w="0" w:type="dxa"/>
                    <w:right w:w="10" w:type="dxa"/>
                  </w:tcMar>
                  <w:vAlign w:val="center"/>
                  <w:hideMark/>
                </w:tcPr>
                <w:p w:rsidR="00575064" w:rsidRPr="001E216D" w:rsidRDefault="00575064" w:rsidP="001754F7">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2016.</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B8CCE4"/>
                  <w:tcMar>
                    <w:top w:w="10" w:type="dxa"/>
                    <w:left w:w="10" w:type="dxa"/>
                    <w:bottom w:w="0" w:type="dxa"/>
                    <w:right w:w="10" w:type="dxa"/>
                  </w:tcMar>
                  <w:vAlign w:val="center"/>
                  <w:hideMark/>
                </w:tcPr>
                <w:p w:rsidR="00575064" w:rsidRPr="001E216D" w:rsidRDefault="00575064" w:rsidP="001754F7">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2017.</w:t>
                  </w:r>
                </w:p>
              </w:tc>
            </w:tr>
            <w:tr w:rsidR="00575064" w:rsidRPr="001E216D" w:rsidTr="00575064">
              <w:trPr>
                <w:trHeight w:val="339"/>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75064" w:rsidRPr="001E216D" w:rsidRDefault="00575064" w:rsidP="00575064">
                  <w:pPr>
                    <w:spacing w:after="0" w:line="240" w:lineRule="auto"/>
                    <w:rPr>
                      <w:rFonts w:ascii="Arial" w:eastAsia="Times New Roman" w:hAnsi="Arial" w:cs="Arial"/>
                      <w:sz w:val="16"/>
                      <w:szCs w:val="16"/>
                      <w:lang w:eastAsia="hr-HR"/>
                    </w:rPr>
                  </w:pP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travanj</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svibanj</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lipanj</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srpanj</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kolovoz</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rujan</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listopad</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studeni</w:t>
                  </w:r>
                </w:p>
              </w:tc>
              <w:tc>
                <w:tcPr>
                  <w:tcW w:w="360"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prosinac</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siječanj</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veljača</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ožujak</w:t>
                  </w:r>
                </w:p>
              </w:tc>
              <w:tc>
                <w:tcPr>
                  <w:tcW w:w="359" w:type="dxa"/>
                  <w:tcBorders>
                    <w:top w:val="single" w:sz="4" w:space="0" w:color="000000"/>
                    <w:left w:val="single" w:sz="4" w:space="0" w:color="000000"/>
                    <w:bottom w:val="single" w:sz="4" w:space="0" w:color="000000"/>
                    <w:right w:val="single" w:sz="4" w:space="0" w:color="000000"/>
                  </w:tcBorders>
                  <w:shd w:val="clear" w:color="auto" w:fill="DCE6F1"/>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travanj</w:t>
                  </w:r>
                </w:p>
              </w:tc>
            </w:tr>
            <w:tr w:rsidR="00575064" w:rsidRPr="001E216D" w:rsidTr="00575064">
              <w:trPr>
                <w:trHeight w:val="339"/>
                <w:jc w:val="center"/>
              </w:trPr>
              <w:tc>
                <w:tcPr>
                  <w:tcW w:w="1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Broj liječnika</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2.294</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2.286</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2.347</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2.395</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2.438</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2.418</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2.407</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2.395</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2.411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2.391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2.419</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2.426</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2.435</w:t>
                  </w:r>
                </w:p>
              </w:tc>
            </w:tr>
            <w:tr w:rsidR="00575064" w:rsidRPr="001E216D" w:rsidTr="00575064">
              <w:trPr>
                <w:trHeight w:val="339"/>
                <w:jc w:val="center"/>
              </w:trPr>
              <w:tc>
                <w:tcPr>
                  <w:tcW w:w="1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2</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broj medicinskih sestara</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3.215</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3.208</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3.229</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3.252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3.288</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3.280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3.266</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3.269</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3.268</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3.269</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3.282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3.313</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3.330</w:t>
                  </w:r>
                </w:p>
              </w:tc>
            </w:tr>
            <w:tr w:rsidR="00575064" w:rsidRPr="001E216D" w:rsidTr="00575064">
              <w:trPr>
                <w:trHeight w:val="339"/>
                <w:jc w:val="center"/>
              </w:trPr>
              <w:tc>
                <w:tcPr>
                  <w:tcW w:w="1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Broj zdravstvenih radnika</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6.880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6.774</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6.862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6.933</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7.001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6.964</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6.941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6.928</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7.008</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7.032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7.073</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7.149</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7.171</w:t>
                  </w:r>
                </w:p>
              </w:tc>
            </w:tr>
            <w:tr w:rsidR="00575064" w:rsidRPr="001E216D" w:rsidTr="00575064">
              <w:trPr>
                <w:trHeight w:val="356"/>
                <w:jc w:val="center"/>
              </w:trPr>
              <w:tc>
                <w:tcPr>
                  <w:tcW w:w="147"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4</w:t>
                  </w:r>
                </w:p>
              </w:tc>
              <w:tc>
                <w:tcPr>
                  <w:tcW w:w="1482"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Broj nezdravstvenih radnika</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1.726</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1.724</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1.716</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1.722</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1.738</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1.732</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1.730</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1.735</w:t>
                  </w:r>
                </w:p>
              </w:tc>
              <w:tc>
                <w:tcPr>
                  <w:tcW w:w="360"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1.742</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1.739</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1.719</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1.729</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1.728</w:t>
                  </w:r>
                </w:p>
              </w:tc>
            </w:tr>
            <w:tr w:rsidR="00575064" w:rsidRPr="001E216D" w:rsidTr="00575064">
              <w:trPr>
                <w:trHeight w:val="356"/>
                <w:jc w:val="center"/>
              </w:trPr>
              <w:tc>
                <w:tcPr>
                  <w:tcW w:w="147"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5</w:t>
                  </w:r>
                </w:p>
              </w:tc>
              <w:tc>
                <w:tcPr>
                  <w:tcW w:w="1482"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Broj zaposlenih (3+4)</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8.606</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8.498</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8.578</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8.655</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8.739</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8.696</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8.671</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8.663</w:t>
                  </w:r>
                </w:p>
              </w:tc>
              <w:tc>
                <w:tcPr>
                  <w:tcW w:w="360"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8.750</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8.771</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8.792</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8.878</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8.899</w:t>
                  </w:r>
                </w:p>
              </w:tc>
            </w:tr>
            <w:tr w:rsidR="00575064" w:rsidRPr="001E216D" w:rsidTr="00575064">
              <w:trPr>
                <w:trHeight w:val="356"/>
                <w:jc w:val="center"/>
              </w:trPr>
              <w:tc>
                <w:tcPr>
                  <w:tcW w:w="147"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6</w:t>
                  </w:r>
                </w:p>
              </w:tc>
              <w:tc>
                <w:tcPr>
                  <w:tcW w:w="1482"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2C1516" w:rsidP="002C1516">
                  <w:pPr>
                    <w:spacing w:after="0" w:line="240" w:lineRule="auto"/>
                    <w:textAlignment w:val="center"/>
                    <w:rPr>
                      <w:rFonts w:ascii="Arial" w:eastAsia="Times New Roman" w:hAnsi="Arial" w:cs="Arial"/>
                      <w:sz w:val="16"/>
                      <w:szCs w:val="16"/>
                      <w:lang w:eastAsia="hr-HR"/>
                    </w:rPr>
                  </w:pPr>
                  <w:r>
                    <w:rPr>
                      <w:rFonts w:ascii="Calibri" w:eastAsia="Times New Roman" w:hAnsi="Calibri" w:cs="Arial"/>
                      <w:color w:val="000000"/>
                      <w:kern w:val="24"/>
                      <w:sz w:val="16"/>
                      <w:szCs w:val="16"/>
                      <w:lang w:val="pl-PL" w:eastAsia="hr-HR"/>
                    </w:rPr>
                    <w:t>Koncesije/</w:t>
                  </w:r>
                  <w:r w:rsidR="00575064" w:rsidRPr="001E216D">
                    <w:rPr>
                      <w:rFonts w:ascii="Calibri" w:eastAsia="Times New Roman" w:hAnsi="Calibri" w:cs="Arial"/>
                      <w:color w:val="000000"/>
                      <w:kern w:val="24"/>
                      <w:sz w:val="16"/>
                      <w:szCs w:val="16"/>
                      <w:lang w:val="pl-PL" w:eastAsia="hr-HR"/>
                    </w:rPr>
                    <w:t>zakup - ukupno zaposlenih</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11.548</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11.511</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11.510</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11.503</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11.488</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11.465</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11.464</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11.473</w:t>
                  </w:r>
                </w:p>
              </w:tc>
              <w:tc>
                <w:tcPr>
                  <w:tcW w:w="360"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11.470</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11.468</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11.399</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11.374</w:t>
                  </w:r>
                </w:p>
              </w:tc>
              <w:tc>
                <w:tcPr>
                  <w:tcW w:w="359" w:type="dxa"/>
                  <w:tcBorders>
                    <w:top w:val="single" w:sz="4" w:space="0" w:color="000000"/>
                    <w:left w:val="single" w:sz="4" w:space="0" w:color="000000"/>
                    <w:bottom w:val="double" w:sz="6"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11.346</w:t>
                  </w:r>
                </w:p>
              </w:tc>
            </w:tr>
            <w:tr w:rsidR="00575064" w:rsidRPr="001E216D" w:rsidTr="00575064">
              <w:trPr>
                <w:trHeight w:val="356"/>
                <w:jc w:val="center"/>
              </w:trPr>
              <w:tc>
                <w:tcPr>
                  <w:tcW w:w="147"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color w:val="000000"/>
                      <w:kern w:val="24"/>
                      <w:sz w:val="16"/>
                      <w:szCs w:val="16"/>
                      <w:lang w:eastAsia="hr-HR"/>
                    </w:rPr>
                    <w:t> </w:t>
                  </w:r>
                </w:p>
              </w:tc>
              <w:tc>
                <w:tcPr>
                  <w:tcW w:w="1482"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Ukupan broj zaposlenika (5+6)</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20.154</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20.009</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20.088</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20.158</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20.227</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20.161</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20.135</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20.136</w:t>
                  </w:r>
                </w:p>
              </w:tc>
              <w:tc>
                <w:tcPr>
                  <w:tcW w:w="360"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20.220</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20.239</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20.191</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20.252</w:t>
                  </w:r>
                </w:p>
              </w:tc>
              <w:tc>
                <w:tcPr>
                  <w:tcW w:w="359" w:type="dxa"/>
                  <w:tcBorders>
                    <w:top w:val="double" w:sz="6"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575064" w:rsidRPr="001E216D" w:rsidRDefault="00575064" w:rsidP="00575064">
                  <w:pPr>
                    <w:spacing w:after="0" w:line="240" w:lineRule="auto"/>
                    <w:jc w:val="center"/>
                    <w:textAlignment w:val="center"/>
                    <w:rPr>
                      <w:rFonts w:ascii="Arial" w:eastAsia="Times New Roman" w:hAnsi="Arial" w:cs="Arial"/>
                      <w:sz w:val="16"/>
                      <w:szCs w:val="16"/>
                      <w:lang w:eastAsia="hr-HR"/>
                    </w:rPr>
                  </w:pPr>
                  <w:r w:rsidRPr="001E216D">
                    <w:rPr>
                      <w:rFonts w:ascii="Calibri" w:eastAsia="Times New Roman" w:hAnsi="Calibri" w:cs="Arial"/>
                      <w:b/>
                      <w:bCs/>
                      <w:color w:val="000000"/>
                      <w:kern w:val="24"/>
                      <w:sz w:val="16"/>
                      <w:szCs w:val="16"/>
                      <w:lang w:eastAsia="hr-HR"/>
                    </w:rPr>
                    <w:t>20.245</w:t>
                  </w:r>
                </w:p>
              </w:tc>
            </w:tr>
          </w:tbl>
          <w:p w:rsidR="00D70BFC" w:rsidRPr="00D70BFC" w:rsidRDefault="00D70BFC" w:rsidP="00D70BFC">
            <w:pPr>
              <w:spacing w:after="0" w:line="240" w:lineRule="auto"/>
              <w:jc w:val="center"/>
              <w:rPr>
                <w:rFonts w:ascii="Times New Roman" w:eastAsia="Times New Roman" w:hAnsi="Times New Roman" w:cs="Times New Roman"/>
                <w:iCs/>
                <w:color w:val="000000"/>
                <w:sz w:val="20"/>
                <w:szCs w:val="20"/>
                <w:lang w:eastAsia="hr-HR"/>
              </w:rPr>
            </w:pPr>
            <w:r w:rsidRPr="00D70BFC">
              <w:rPr>
                <w:rFonts w:ascii="Times New Roman" w:eastAsia="Times New Roman" w:hAnsi="Times New Roman" w:cs="Times New Roman"/>
                <w:iCs/>
                <w:color w:val="000000"/>
                <w:sz w:val="20"/>
                <w:szCs w:val="20"/>
                <w:lang w:eastAsia="hr-HR"/>
              </w:rPr>
              <w:t>Izvor: podaci Ministarstva zdravstva i Hrvatskog zavoda za zdravstveno osiguranje</w:t>
            </w:r>
          </w:p>
          <w:p w:rsidR="00D70BFC" w:rsidRDefault="00D70BFC" w:rsidP="00575064">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p>
          <w:p w:rsidR="00575064" w:rsidRPr="00575064" w:rsidRDefault="00575064" w:rsidP="00575064">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575064">
              <w:rPr>
                <w:rFonts w:ascii="Times New Roman" w:eastAsia="Times New Roman" w:hAnsi="Times New Roman" w:cs="Times New Roman"/>
                <w:iCs/>
                <w:color w:val="000000"/>
                <w:sz w:val="24"/>
                <w:szCs w:val="24"/>
                <w:lang w:eastAsia="hr-HR"/>
              </w:rPr>
              <w:t xml:space="preserve">Tablica 2. </w:t>
            </w:r>
            <w:r>
              <w:rPr>
                <w:rFonts w:ascii="Times New Roman" w:eastAsia="Times New Roman" w:hAnsi="Times New Roman" w:cs="Times New Roman"/>
                <w:iCs/>
                <w:color w:val="000000"/>
                <w:sz w:val="24"/>
                <w:szCs w:val="24"/>
                <w:lang w:eastAsia="hr-HR"/>
              </w:rPr>
              <w:t>Broj zaposlenih u primarnoj zdravstvenoj zaštiti bez koncesija</w:t>
            </w:r>
          </w:p>
          <w:p w:rsidR="00575064" w:rsidRDefault="00575064" w:rsidP="00D70BFC">
            <w:pPr>
              <w:spacing w:after="0" w:line="240" w:lineRule="auto"/>
              <w:jc w:val="center"/>
              <w:rPr>
                <w:rFonts w:ascii="Times New Roman" w:eastAsia="Times New Roman" w:hAnsi="Times New Roman" w:cs="Times New Roman"/>
                <w:b/>
                <w:iCs/>
                <w:color w:val="000000"/>
                <w:sz w:val="24"/>
                <w:szCs w:val="24"/>
                <w:lang w:eastAsia="hr-HR"/>
              </w:rPr>
            </w:pPr>
            <w:r w:rsidRPr="001E216D">
              <w:rPr>
                <w:noProof/>
                <w:sz w:val="16"/>
                <w:szCs w:val="16"/>
                <w:lang w:eastAsia="hr-HR"/>
              </w:rPr>
              <w:drawing>
                <wp:inline distT="0" distB="0" distL="0" distR="0" wp14:anchorId="07DFC436" wp14:editId="2E7700E5">
                  <wp:extent cx="4839195" cy="2933205"/>
                  <wp:effectExtent l="0" t="0" r="0" b="63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BFC" w:rsidRPr="00D70BFC" w:rsidRDefault="00D70BFC" w:rsidP="00D70BFC">
            <w:pPr>
              <w:spacing w:after="0" w:line="240" w:lineRule="auto"/>
              <w:jc w:val="center"/>
              <w:rPr>
                <w:rFonts w:ascii="Times New Roman" w:eastAsia="Times New Roman" w:hAnsi="Times New Roman" w:cs="Times New Roman"/>
                <w:iCs/>
                <w:color w:val="000000"/>
                <w:sz w:val="20"/>
                <w:szCs w:val="20"/>
                <w:lang w:eastAsia="hr-HR"/>
              </w:rPr>
            </w:pPr>
            <w:r w:rsidRPr="00D70BFC">
              <w:rPr>
                <w:rFonts w:ascii="Times New Roman" w:eastAsia="Times New Roman" w:hAnsi="Times New Roman" w:cs="Times New Roman"/>
                <w:iCs/>
                <w:color w:val="000000"/>
                <w:sz w:val="20"/>
                <w:szCs w:val="20"/>
                <w:lang w:eastAsia="hr-HR"/>
              </w:rPr>
              <w:t>Izvor: podaci Ministarstva zdravstva i Hrvatskog zavoda za zdravstveno osiguranje</w:t>
            </w: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57291" w:rsidRPr="00D57291" w:rsidRDefault="00D57291" w:rsidP="00D70BFC">
            <w:pPr>
              <w:spacing w:after="0" w:line="240" w:lineRule="auto"/>
              <w:jc w:val="center"/>
              <w:rPr>
                <w:rFonts w:ascii="Times New Roman" w:eastAsia="Times New Roman" w:hAnsi="Times New Roman" w:cs="Times New Roman"/>
                <w:iCs/>
                <w:color w:val="000000"/>
                <w:sz w:val="24"/>
                <w:szCs w:val="24"/>
                <w:lang w:eastAsia="hr-HR"/>
              </w:rPr>
            </w:pPr>
            <w:r w:rsidRPr="00D57291">
              <w:rPr>
                <w:rFonts w:ascii="Times New Roman" w:eastAsia="Times New Roman" w:hAnsi="Times New Roman" w:cs="Times New Roman"/>
                <w:iCs/>
                <w:color w:val="000000"/>
                <w:sz w:val="24"/>
                <w:szCs w:val="24"/>
                <w:lang w:eastAsia="hr-HR"/>
              </w:rPr>
              <w:t>Tablica 3.</w:t>
            </w:r>
            <w:r>
              <w:rPr>
                <w:rFonts w:ascii="Times New Roman" w:eastAsia="Times New Roman" w:hAnsi="Times New Roman" w:cs="Times New Roman"/>
                <w:iCs/>
                <w:color w:val="000000"/>
                <w:sz w:val="24"/>
                <w:szCs w:val="24"/>
                <w:lang w:eastAsia="hr-HR"/>
              </w:rPr>
              <w:t xml:space="preserve"> Broj zaposlenih u primarnoj zdravstvenoj zaštiti uključujući koncesionare</w:t>
            </w:r>
          </w:p>
          <w:p w:rsidR="00575064" w:rsidRDefault="00575064" w:rsidP="00D70BFC">
            <w:pPr>
              <w:spacing w:after="0" w:line="240" w:lineRule="auto"/>
              <w:jc w:val="center"/>
              <w:rPr>
                <w:rFonts w:ascii="Times New Roman" w:eastAsia="Times New Roman" w:hAnsi="Times New Roman" w:cs="Times New Roman"/>
                <w:b/>
                <w:iCs/>
                <w:color w:val="000000"/>
                <w:sz w:val="24"/>
                <w:szCs w:val="24"/>
                <w:lang w:eastAsia="hr-HR"/>
              </w:rPr>
            </w:pPr>
            <w:r w:rsidRPr="001E216D">
              <w:rPr>
                <w:noProof/>
                <w:sz w:val="16"/>
                <w:szCs w:val="16"/>
                <w:lang w:eastAsia="hr-HR"/>
              </w:rPr>
              <w:lastRenderedPageBreak/>
              <w:drawing>
                <wp:inline distT="0" distB="0" distL="0" distR="0" wp14:anchorId="6CD0E213" wp14:editId="247DD2BD">
                  <wp:extent cx="4833018" cy="2814320"/>
                  <wp:effectExtent l="0" t="0" r="5715" b="508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0BFC" w:rsidRPr="00D70BFC" w:rsidRDefault="00D70BFC" w:rsidP="00D70BFC">
            <w:pPr>
              <w:spacing w:after="0" w:line="240" w:lineRule="auto"/>
              <w:jc w:val="center"/>
              <w:rPr>
                <w:rFonts w:ascii="Times New Roman" w:eastAsia="Times New Roman" w:hAnsi="Times New Roman" w:cs="Times New Roman"/>
                <w:iCs/>
                <w:color w:val="000000"/>
                <w:sz w:val="20"/>
                <w:szCs w:val="20"/>
                <w:lang w:eastAsia="hr-HR"/>
              </w:rPr>
            </w:pPr>
            <w:r w:rsidRPr="00D70BFC">
              <w:rPr>
                <w:rFonts w:ascii="Times New Roman" w:eastAsia="Times New Roman" w:hAnsi="Times New Roman" w:cs="Times New Roman"/>
                <w:iCs/>
                <w:color w:val="000000"/>
                <w:sz w:val="20"/>
                <w:szCs w:val="20"/>
                <w:lang w:eastAsia="hr-HR"/>
              </w:rPr>
              <w:t>Izvor: podaci Ministarstva zdravstva i Hrvatskog zavoda za zdravstveno osiguranje</w:t>
            </w:r>
          </w:p>
          <w:p w:rsidR="00D70BFC" w:rsidRDefault="00D70BFC" w:rsidP="00D70BFC">
            <w:pPr>
              <w:spacing w:after="0" w:line="240" w:lineRule="auto"/>
              <w:jc w:val="center"/>
              <w:rPr>
                <w:rFonts w:ascii="Times New Roman" w:eastAsia="Times New Roman" w:hAnsi="Times New Roman" w:cs="Times New Roman"/>
                <w:b/>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b/>
                <w:iCs/>
                <w:color w:val="000000"/>
                <w:sz w:val="24"/>
                <w:szCs w:val="24"/>
                <w:lang w:eastAsia="hr-HR"/>
              </w:rPr>
            </w:pPr>
          </w:p>
          <w:p w:rsidR="00B329CC" w:rsidRDefault="00681145" w:rsidP="00D70BFC">
            <w:pPr>
              <w:spacing w:after="0"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S</w:t>
            </w:r>
            <w:r w:rsidR="00B329CC" w:rsidRPr="00B329CC">
              <w:rPr>
                <w:rFonts w:ascii="Times New Roman" w:eastAsia="Times New Roman" w:hAnsi="Times New Roman" w:cs="Times New Roman"/>
                <w:iCs/>
                <w:color w:val="000000"/>
                <w:sz w:val="24"/>
                <w:szCs w:val="24"/>
                <w:lang w:eastAsia="hr-HR"/>
              </w:rPr>
              <w:t>tatus zakupaca - zdravstvenih radnika koji obavljaju privatnu praksu na osnovi zakupa iz članka 215. Zakona o zdravstvenoj zaštiti („Na</w:t>
            </w:r>
            <w:r w:rsidR="0068314C">
              <w:rPr>
                <w:rFonts w:ascii="Times New Roman" w:eastAsia="Times New Roman" w:hAnsi="Times New Roman" w:cs="Times New Roman"/>
                <w:iCs/>
                <w:color w:val="000000"/>
                <w:sz w:val="24"/>
                <w:szCs w:val="24"/>
                <w:lang w:eastAsia="hr-HR"/>
              </w:rPr>
              <w:t>rodne novine“, broj 150/08, 71/10, 139/10, 22/11 i 84/11</w:t>
            </w:r>
            <w:r w:rsidR="00B329CC" w:rsidRPr="00B329CC">
              <w:rPr>
                <w:rFonts w:ascii="Times New Roman" w:eastAsia="Times New Roman" w:hAnsi="Times New Roman" w:cs="Times New Roman"/>
                <w:iCs/>
                <w:color w:val="000000"/>
                <w:sz w:val="24"/>
                <w:szCs w:val="24"/>
                <w:lang w:eastAsia="hr-HR"/>
              </w:rPr>
              <w:t>) i članka 29. Zakona o izmjenama i dopunama Zakona o zdravstvenoj zaštit</w:t>
            </w:r>
            <w:r w:rsidR="0068314C">
              <w:rPr>
                <w:rFonts w:ascii="Times New Roman" w:eastAsia="Times New Roman" w:hAnsi="Times New Roman" w:cs="Times New Roman"/>
                <w:iCs/>
                <w:color w:val="000000"/>
                <w:sz w:val="24"/>
                <w:szCs w:val="24"/>
                <w:lang w:eastAsia="hr-HR"/>
              </w:rPr>
              <w:t>i („Narodne novine“, broj 71/10</w:t>
            </w:r>
            <w:r w:rsidR="00B329CC" w:rsidRPr="00B329CC">
              <w:rPr>
                <w:rFonts w:ascii="Times New Roman" w:eastAsia="Times New Roman" w:hAnsi="Times New Roman" w:cs="Times New Roman"/>
                <w:iCs/>
                <w:color w:val="000000"/>
                <w:sz w:val="24"/>
                <w:szCs w:val="24"/>
                <w:lang w:eastAsia="hr-HR"/>
              </w:rPr>
              <w:t>)</w:t>
            </w:r>
            <w:r>
              <w:rPr>
                <w:rFonts w:ascii="Times New Roman" w:eastAsia="Times New Roman" w:hAnsi="Times New Roman" w:cs="Times New Roman"/>
                <w:iCs/>
                <w:color w:val="000000"/>
                <w:sz w:val="24"/>
                <w:szCs w:val="24"/>
                <w:lang w:eastAsia="hr-HR"/>
              </w:rPr>
              <w:t xml:space="preserve"> nije se rješavao </w:t>
            </w:r>
            <w:r w:rsidR="000C056A">
              <w:rPr>
                <w:rFonts w:ascii="Times New Roman" w:eastAsia="Times New Roman" w:hAnsi="Times New Roman" w:cs="Times New Roman"/>
                <w:iCs/>
                <w:color w:val="000000"/>
                <w:sz w:val="24"/>
                <w:szCs w:val="24"/>
                <w:lang w:eastAsia="hr-HR"/>
              </w:rPr>
              <w:t>dugi</w:t>
            </w:r>
            <w:r>
              <w:rPr>
                <w:rFonts w:ascii="Times New Roman" w:eastAsia="Times New Roman" w:hAnsi="Times New Roman" w:cs="Times New Roman"/>
                <w:iCs/>
                <w:color w:val="000000"/>
                <w:sz w:val="24"/>
                <w:szCs w:val="24"/>
                <w:lang w:eastAsia="hr-HR"/>
              </w:rPr>
              <w:t xml:space="preserve"> niz godina </w:t>
            </w:r>
            <w:r w:rsidR="00B329CC" w:rsidRPr="00B329CC">
              <w:rPr>
                <w:rFonts w:ascii="Times New Roman" w:eastAsia="Times New Roman" w:hAnsi="Times New Roman" w:cs="Times New Roman"/>
                <w:iCs/>
                <w:color w:val="000000"/>
                <w:sz w:val="24"/>
                <w:szCs w:val="24"/>
                <w:lang w:eastAsia="hr-HR"/>
              </w:rPr>
              <w:t xml:space="preserve">što je dovelo do neizvjesnosti </w:t>
            </w:r>
            <w:r>
              <w:rPr>
                <w:rFonts w:ascii="Times New Roman" w:eastAsia="Times New Roman" w:hAnsi="Times New Roman" w:cs="Times New Roman"/>
                <w:iCs/>
                <w:color w:val="000000"/>
                <w:sz w:val="24"/>
                <w:szCs w:val="24"/>
                <w:lang w:eastAsia="hr-HR"/>
              </w:rPr>
              <w:t xml:space="preserve">u pogledu </w:t>
            </w:r>
            <w:r w:rsidR="00B329CC" w:rsidRPr="00B329CC">
              <w:rPr>
                <w:rFonts w:ascii="Times New Roman" w:eastAsia="Times New Roman" w:hAnsi="Times New Roman" w:cs="Times New Roman"/>
                <w:iCs/>
                <w:color w:val="000000"/>
                <w:sz w:val="24"/>
                <w:szCs w:val="24"/>
                <w:lang w:eastAsia="hr-HR"/>
              </w:rPr>
              <w:t xml:space="preserve">njihovog pravnog položaja. </w:t>
            </w:r>
          </w:p>
          <w:p w:rsidR="000B3F4B" w:rsidRDefault="00D57291" w:rsidP="000B3F4B">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 cilju uređivanja njihovoga statusa p</w:t>
            </w:r>
            <w:r w:rsidR="00B329CC" w:rsidRPr="00B329CC">
              <w:rPr>
                <w:rFonts w:ascii="Times New Roman" w:eastAsia="Times New Roman" w:hAnsi="Times New Roman" w:cs="Times New Roman"/>
                <w:iCs/>
                <w:color w:val="000000"/>
                <w:sz w:val="24"/>
                <w:szCs w:val="24"/>
                <w:lang w:eastAsia="hr-HR"/>
              </w:rPr>
              <w:t xml:space="preserve">otrebno je urediti pravila nastavka obavljanja djelatnosti u privatnoj praksi  </w:t>
            </w:r>
            <w:r>
              <w:rPr>
                <w:rFonts w:ascii="Times New Roman" w:eastAsia="Times New Roman" w:hAnsi="Times New Roman" w:cs="Times New Roman"/>
                <w:iCs/>
                <w:color w:val="000000"/>
                <w:sz w:val="24"/>
                <w:szCs w:val="24"/>
                <w:lang w:eastAsia="hr-HR"/>
              </w:rPr>
              <w:t>onih zdravstvenih radnika koji djelatnost obavljaju</w:t>
            </w:r>
            <w:r w:rsidR="00B329CC" w:rsidRPr="00B329CC">
              <w:rPr>
                <w:rFonts w:ascii="Times New Roman" w:eastAsia="Times New Roman" w:hAnsi="Times New Roman" w:cs="Times New Roman"/>
                <w:iCs/>
                <w:color w:val="000000"/>
                <w:sz w:val="24"/>
                <w:szCs w:val="24"/>
                <w:lang w:eastAsia="hr-HR"/>
              </w:rPr>
              <w:t xml:space="preserve"> u prostorima domova zdravlja i ljekarničkih zdravstvenih ustanova</w:t>
            </w:r>
            <w:r>
              <w:rPr>
                <w:rFonts w:ascii="Times New Roman" w:eastAsia="Times New Roman" w:hAnsi="Times New Roman" w:cs="Times New Roman"/>
                <w:iCs/>
                <w:color w:val="000000"/>
                <w:sz w:val="24"/>
                <w:szCs w:val="24"/>
                <w:lang w:eastAsia="hr-HR"/>
              </w:rPr>
              <w:t>,</w:t>
            </w:r>
            <w:r w:rsidR="00B329CC" w:rsidRPr="00B329CC">
              <w:rPr>
                <w:rFonts w:ascii="Times New Roman" w:eastAsia="Times New Roman" w:hAnsi="Times New Roman" w:cs="Times New Roman"/>
                <w:iCs/>
                <w:color w:val="000000"/>
                <w:sz w:val="24"/>
                <w:szCs w:val="24"/>
                <w:lang w:eastAsia="hr-HR"/>
              </w:rPr>
              <w:t xml:space="preserve"> prema ra</w:t>
            </w:r>
            <w:r>
              <w:rPr>
                <w:rFonts w:ascii="Times New Roman" w:eastAsia="Times New Roman" w:hAnsi="Times New Roman" w:cs="Times New Roman"/>
                <w:iCs/>
                <w:color w:val="000000"/>
                <w:sz w:val="24"/>
                <w:szCs w:val="24"/>
                <w:lang w:eastAsia="hr-HR"/>
              </w:rPr>
              <w:t>nije važećim propisima o zakupu.</w:t>
            </w:r>
            <w:r w:rsidR="00B329CC" w:rsidRPr="00B329CC">
              <w:rPr>
                <w:rFonts w:ascii="Times New Roman" w:eastAsia="Times New Roman" w:hAnsi="Times New Roman" w:cs="Times New Roman"/>
                <w:iCs/>
                <w:color w:val="000000"/>
                <w:sz w:val="24"/>
                <w:szCs w:val="24"/>
                <w:lang w:eastAsia="hr-HR"/>
              </w:rPr>
              <w:t xml:space="preserve"> </w:t>
            </w:r>
          </w:p>
          <w:p w:rsidR="000B3F4B" w:rsidRDefault="000B3F4B" w:rsidP="000B3F4B">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0B3F4B">
              <w:rPr>
                <w:rFonts w:ascii="Times New Roman" w:eastAsia="Times New Roman" w:hAnsi="Times New Roman" w:cs="Times New Roman"/>
                <w:iCs/>
                <w:color w:val="000000"/>
                <w:sz w:val="24"/>
                <w:szCs w:val="24"/>
                <w:lang w:eastAsia="hr-HR"/>
              </w:rPr>
              <w:t xml:space="preserve">Također, potrebno je propisati obvezu koncesionara da sudjeluju u radu </w:t>
            </w:r>
            <w:r>
              <w:rPr>
                <w:rFonts w:ascii="Times New Roman" w:eastAsia="Times New Roman" w:hAnsi="Times New Roman" w:cs="Times New Roman"/>
                <w:iCs/>
                <w:color w:val="000000"/>
                <w:sz w:val="24"/>
                <w:szCs w:val="24"/>
                <w:lang w:eastAsia="hr-HR"/>
              </w:rPr>
              <w:t xml:space="preserve">svih </w:t>
            </w:r>
            <w:r w:rsidRPr="000B3F4B">
              <w:rPr>
                <w:rFonts w:ascii="Times New Roman" w:eastAsia="Times New Roman" w:hAnsi="Times New Roman" w:cs="Times New Roman"/>
                <w:iCs/>
                <w:color w:val="000000"/>
                <w:sz w:val="24"/>
                <w:szCs w:val="24"/>
                <w:lang w:eastAsia="hr-HR"/>
              </w:rPr>
              <w:t xml:space="preserve">segmenata zaštite zdravlja stanovništva iz djelatnosti primarne zdravstvene zaštite poput dežurstva, pripravnosti i drugih javno zdravstvenih aktivnosti. </w:t>
            </w:r>
          </w:p>
          <w:p w:rsidR="00D70BFC" w:rsidRDefault="00D70BFC"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7E793B" w:rsidRDefault="00681145"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681145">
              <w:rPr>
                <w:rFonts w:ascii="Times New Roman" w:eastAsia="Times New Roman" w:hAnsi="Times New Roman" w:cs="Times New Roman"/>
                <w:b/>
                <w:iCs/>
                <w:color w:val="000000"/>
                <w:sz w:val="24"/>
                <w:szCs w:val="24"/>
                <w:lang w:eastAsia="hr-HR"/>
              </w:rPr>
              <w:t>1.1.3.</w:t>
            </w:r>
            <w:r>
              <w:rPr>
                <w:rFonts w:ascii="Times New Roman" w:eastAsia="Times New Roman" w:hAnsi="Times New Roman" w:cs="Times New Roman"/>
                <w:b/>
                <w:iCs/>
                <w:color w:val="000000"/>
                <w:sz w:val="24"/>
                <w:szCs w:val="24"/>
                <w:lang w:eastAsia="hr-HR"/>
              </w:rPr>
              <w:t xml:space="preserve"> </w:t>
            </w:r>
            <w:r w:rsidR="007E793B">
              <w:rPr>
                <w:rFonts w:ascii="Times New Roman" w:eastAsia="Times New Roman" w:hAnsi="Times New Roman" w:cs="Times New Roman"/>
                <w:b/>
                <w:iCs/>
                <w:color w:val="000000"/>
                <w:sz w:val="24"/>
                <w:szCs w:val="24"/>
                <w:lang w:eastAsia="hr-HR"/>
              </w:rPr>
              <w:t xml:space="preserve">Jačanje preventivne zdravstvene zaštite </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Glavne funkcije javnog zdravstva i glavni instrumenti kojima se javno zdravstvo služi u ostvarivanju javnozdravstvenih ciljeva su: praćenje i ocjena zdravstvenog stanja i kvalitete života stanovništva, posebno ranjivih skupina, identifikacija prioritetnih zdravstvenih problema i opasnosti za zdravlje stanovništva, planiranje i pripravnost za hitna stanja u javnom zdravstvu, intervencije zaštite zdravlja od štetnih čimbenika u okolišu i na mjestu rada, sprečavanje bolesti, upravljanje, financiranje i osiguranje kvalitete u  javnom zdravstvu, planiranje ljudskih resursa u zdravstvu, komunikacija javnog zdravstva te promicanje zdravlja u svim politikama.</w:t>
            </w:r>
          </w:p>
          <w:p w:rsidR="00D70BFC" w:rsidRPr="00A55BE8" w:rsidRDefault="00D70BFC"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 xml:space="preserve">Za provođenje javnozdravstvenih funkcija i kompetencija te ostvarenje ciljeva, potrebno je osigurati odgovarajuću organizacijsku strukturu mreže javnog zdravstva. Struktura treba biti </w:t>
            </w:r>
            <w:r w:rsidRPr="00A55BE8">
              <w:rPr>
                <w:rFonts w:ascii="Times New Roman" w:eastAsia="Times New Roman" w:hAnsi="Times New Roman" w:cs="Times New Roman"/>
                <w:iCs/>
                <w:color w:val="000000"/>
                <w:sz w:val="24"/>
                <w:szCs w:val="24"/>
                <w:lang w:eastAsia="hr-HR"/>
              </w:rPr>
              <w:lastRenderedPageBreak/>
              <w:t>kombinacija nacionalnih, regionalnih i lokalnih organizacijskih jedinica, a ciljeve javnog zdravstva i organizacijsku strukturu trebaju pratiti i odgovarajući financijski mehanizmi.</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Područje preventivnih aktivnosti nije dovoljno kvalitetno razrađeno i specificirano važećim Zakonom te je isto potrebno dodatno osnažiti.</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strike/>
                <w:color w:val="FF0000"/>
                <w:sz w:val="24"/>
                <w:szCs w:val="24"/>
                <w:lang w:eastAsia="hr-HR"/>
              </w:rPr>
            </w:pPr>
            <w:r w:rsidRPr="00A55BE8">
              <w:rPr>
                <w:rFonts w:ascii="Times New Roman" w:eastAsia="Times New Roman" w:hAnsi="Times New Roman" w:cs="Times New Roman"/>
                <w:iCs/>
                <w:color w:val="000000"/>
                <w:sz w:val="24"/>
                <w:szCs w:val="24"/>
                <w:lang w:eastAsia="hr-HR"/>
              </w:rPr>
              <w:t>Djelatnosti zaštite mentalnoga zdravlja i izvanbolničkog liječenja mentalnih bolesti i poremećaja, uključujući ovisnosti, zdravstvenu ekologiju, školsku i adolescentnu medicinu  nedostatno</w:t>
            </w:r>
            <w:r w:rsidR="005B3F4D" w:rsidRPr="00A55BE8">
              <w:rPr>
                <w:rFonts w:ascii="Times New Roman" w:eastAsia="Times New Roman" w:hAnsi="Times New Roman" w:cs="Times New Roman"/>
                <w:iCs/>
                <w:color w:val="000000"/>
                <w:sz w:val="24"/>
                <w:szCs w:val="24"/>
                <w:lang w:eastAsia="hr-HR"/>
              </w:rPr>
              <w:t xml:space="preserve"> su</w:t>
            </w:r>
            <w:r w:rsidRPr="00A55BE8">
              <w:rPr>
                <w:rFonts w:ascii="Times New Roman" w:eastAsia="Times New Roman" w:hAnsi="Times New Roman" w:cs="Times New Roman"/>
                <w:iCs/>
                <w:color w:val="000000"/>
                <w:sz w:val="24"/>
                <w:szCs w:val="24"/>
                <w:lang w:eastAsia="hr-HR"/>
              </w:rPr>
              <w:t xml:space="preserve"> definirane i nedorečene. </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 xml:space="preserve">Nedostatno su opisane djelatnosti i poslovi Hrvatskog zavoda za javno zdravstvo i županijskih zavoda za javno zdravstvo, a ujedno je nedorečeno područje </w:t>
            </w:r>
            <w:r w:rsidR="005B3F4D" w:rsidRPr="00A55BE8">
              <w:rPr>
                <w:rFonts w:ascii="Times New Roman" w:eastAsia="Times New Roman" w:hAnsi="Times New Roman" w:cs="Times New Roman"/>
                <w:iCs/>
                <w:color w:val="000000"/>
                <w:sz w:val="24"/>
                <w:szCs w:val="24"/>
                <w:lang w:eastAsia="hr-HR"/>
              </w:rPr>
              <w:t xml:space="preserve">njihovih </w:t>
            </w:r>
            <w:r w:rsidRPr="00A55BE8">
              <w:rPr>
                <w:rFonts w:ascii="Times New Roman" w:eastAsia="Times New Roman" w:hAnsi="Times New Roman" w:cs="Times New Roman"/>
                <w:iCs/>
                <w:color w:val="000000"/>
                <w:sz w:val="24"/>
                <w:szCs w:val="24"/>
                <w:lang w:eastAsia="hr-HR"/>
              </w:rPr>
              <w:t>međusobnih odnosa.</w:t>
            </w:r>
            <w:r w:rsidR="005B3F4D" w:rsidRPr="00A55BE8">
              <w:rPr>
                <w:rFonts w:ascii="Times New Roman" w:eastAsia="Times New Roman" w:hAnsi="Times New Roman" w:cs="Times New Roman"/>
                <w:iCs/>
                <w:color w:val="000000"/>
                <w:sz w:val="24"/>
                <w:szCs w:val="24"/>
                <w:lang w:eastAsia="hr-HR"/>
              </w:rPr>
              <w:t xml:space="preserve"> Isto tako,</w:t>
            </w:r>
            <w:r w:rsidRPr="00A55BE8">
              <w:rPr>
                <w:rFonts w:ascii="Times New Roman" w:eastAsia="Times New Roman" w:hAnsi="Times New Roman" w:cs="Times New Roman"/>
                <w:iCs/>
                <w:color w:val="000000"/>
                <w:sz w:val="24"/>
                <w:szCs w:val="24"/>
                <w:lang w:eastAsia="hr-HR"/>
              </w:rPr>
              <w:t xml:space="preserve"> </w:t>
            </w:r>
            <w:r w:rsidR="009905AB" w:rsidRPr="00A55BE8">
              <w:rPr>
                <w:rFonts w:ascii="Times New Roman" w:eastAsia="Times New Roman" w:hAnsi="Times New Roman" w:cs="Times New Roman"/>
                <w:iCs/>
                <w:color w:val="000000"/>
                <w:sz w:val="24"/>
                <w:szCs w:val="24"/>
                <w:lang w:eastAsia="hr-HR"/>
              </w:rPr>
              <w:t>nedovoljno</w:t>
            </w:r>
            <w:r w:rsidRPr="00A55BE8">
              <w:rPr>
                <w:rFonts w:ascii="Times New Roman" w:eastAsia="Times New Roman" w:hAnsi="Times New Roman" w:cs="Times New Roman"/>
                <w:iCs/>
                <w:color w:val="000000"/>
                <w:sz w:val="24"/>
                <w:szCs w:val="24"/>
                <w:lang w:eastAsia="hr-HR"/>
              </w:rPr>
              <w:t xml:space="preserve"> je definiran način suradnje i koordinacije poslova sa županijskim zavodima za javno zdravstvo. Nedostatno je naglašen javnozdravstveni interes, strateška uloga i značaj nacionalnih referentnih laboratorija.</w:t>
            </w:r>
          </w:p>
          <w:p w:rsidR="00FC2077" w:rsidRPr="00A55BE8" w:rsidRDefault="005B3F4D"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Također, u važećem Zakonu</w:t>
            </w:r>
            <w:r w:rsidR="00FC2077" w:rsidRPr="00A55BE8">
              <w:rPr>
                <w:rFonts w:ascii="Times New Roman" w:eastAsia="Times New Roman" w:hAnsi="Times New Roman" w:cs="Times New Roman"/>
                <w:iCs/>
                <w:color w:val="000000"/>
                <w:sz w:val="24"/>
                <w:szCs w:val="24"/>
                <w:lang w:eastAsia="hr-HR"/>
              </w:rPr>
              <w:t xml:space="preserve"> nedostaje poveznica sa Direktivom Vijeća 89/391/EEZ od 12. lipnja 1989. godine o uvođenju mjera za poticanje poboljšanja sigurnosti i zdravlja radnika na radu. Na ovom području nedostaje podloga za ostvarivanje društvene skrb</w:t>
            </w:r>
            <w:r w:rsidR="0052328E" w:rsidRPr="00A55BE8">
              <w:rPr>
                <w:rFonts w:ascii="Times New Roman" w:eastAsia="Times New Roman" w:hAnsi="Times New Roman" w:cs="Times New Roman"/>
                <w:iCs/>
                <w:color w:val="000000"/>
                <w:sz w:val="24"/>
                <w:szCs w:val="24"/>
                <w:lang w:eastAsia="hr-HR"/>
              </w:rPr>
              <w:t>i</w:t>
            </w:r>
            <w:r w:rsidR="00FC2077" w:rsidRPr="00A55BE8">
              <w:rPr>
                <w:rFonts w:ascii="Times New Roman" w:eastAsia="Times New Roman" w:hAnsi="Times New Roman" w:cs="Times New Roman"/>
                <w:iCs/>
                <w:color w:val="000000"/>
                <w:sz w:val="24"/>
                <w:szCs w:val="24"/>
                <w:lang w:eastAsia="hr-HR"/>
              </w:rPr>
              <w:t xml:space="preserve"> za zdravlje radnika provođenjem mjera </w:t>
            </w:r>
            <w:r w:rsidR="0052328E" w:rsidRPr="00A55BE8">
              <w:rPr>
                <w:rFonts w:ascii="Times New Roman" w:eastAsia="Times New Roman" w:hAnsi="Times New Roman" w:cs="Times New Roman"/>
                <w:iCs/>
                <w:color w:val="000000"/>
                <w:sz w:val="24"/>
                <w:szCs w:val="24"/>
                <w:lang w:eastAsia="hr-HR"/>
              </w:rPr>
              <w:t>za zaštitu</w:t>
            </w:r>
            <w:r w:rsidR="00FC2077" w:rsidRPr="00A55BE8">
              <w:rPr>
                <w:rFonts w:ascii="Times New Roman" w:eastAsia="Times New Roman" w:hAnsi="Times New Roman" w:cs="Times New Roman"/>
                <w:iCs/>
                <w:color w:val="000000"/>
                <w:sz w:val="24"/>
                <w:szCs w:val="24"/>
                <w:lang w:eastAsia="hr-HR"/>
              </w:rPr>
              <w:t xml:space="preserve"> zdravlja radnika od štetnih čimbenika radnog okoliša </w:t>
            </w:r>
            <w:r w:rsidR="0052328E" w:rsidRPr="00A55BE8">
              <w:rPr>
                <w:rFonts w:ascii="Times New Roman" w:eastAsia="Times New Roman" w:hAnsi="Times New Roman" w:cs="Times New Roman"/>
                <w:iCs/>
                <w:color w:val="000000"/>
                <w:sz w:val="24"/>
                <w:szCs w:val="24"/>
                <w:lang w:eastAsia="hr-HR"/>
              </w:rPr>
              <w:t>(</w:t>
            </w:r>
            <w:r w:rsidR="00FC2077" w:rsidRPr="00A55BE8">
              <w:rPr>
                <w:rFonts w:ascii="Times New Roman" w:eastAsia="Times New Roman" w:hAnsi="Times New Roman" w:cs="Times New Roman"/>
                <w:iCs/>
                <w:color w:val="000000"/>
                <w:sz w:val="24"/>
                <w:szCs w:val="24"/>
                <w:lang w:eastAsia="hr-HR"/>
              </w:rPr>
              <w:t>fizikaln</w:t>
            </w:r>
            <w:r w:rsidR="0052328E" w:rsidRPr="00A55BE8">
              <w:rPr>
                <w:rFonts w:ascii="Times New Roman" w:eastAsia="Times New Roman" w:hAnsi="Times New Roman" w:cs="Times New Roman"/>
                <w:iCs/>
                <w:color w:val="000000"/>
                <w:sz w:val="24"/>
                <w:szCs w:val="24"/>
                <w:lang w:eastAsia="hr-HR"/>
              </w:rPr>
              <w:t>e</w:t>
            </w:r>
            <w:r w:rsidR="00FC2077" w:rsidRPr="00A55BE8">
              <w:rPr>
                <w:rFonts w:ascii="Times New Roman" w:eastAsia="Times New Roman" w:hAnsi="Times New Roman" w:cs="Times New Roman"/>
                <w:iCs/>
                <w:color w:val="000000"/>
                <w:sz w:val="24"/>
                <w:szCs w:val="24"/>
                <w:lang w:eastAsia="hr-HR"/>
              </w:rPr>
              <w:t>, kemijsk</w:t>
            </w:r>
            <w:r w:rsidR="0052328E" w:rsidRPr="00A55BE8">
              <w:rPr>
                <w:rFonts w:ascii="Times New Roman" w:eastAsia="Times New Roman" w:hAnsi="Times New Roman" w:cs="Times New Roman"/>
                <w:iCs/>
                <w:color w:val="000000"/>
                <w:sz w:val="24"/>
                <w:szCs w:val="24"/>
                <w:lang w:eastAsia="hr-HR"/>
              </w:rPr>
              <w:t>e</w:t>
            </w:r>
            <w:r w:rsidR="00FC2077" w:rsidRPr="00A55BE8">
              <w:rPr>
                <w:rFonts w:ascii="Times New Roman" w:eastAsia="Times New Roman" w:hAnsi="Times New Roman" w:cs="Times New Roman"/>
                <w:iCs/>
                <w:color w:val="000000"/>
                <w:sz w:val="24"/>
                <w:szCs w:val="24"/>
                <w:lang w:eastAsia="hr-HR"/>
              </w:rPr>
              <w:t xml:space="preserve"> i biološk</w:t>
            </w:r>
            <w:r w:rsidR="0052328E" w:rsidRPr="00A55BE8">
              <w:rPr>
                <w:rFonts w:ascii="Times New Roman" w:eastAsia="Times New Roman" w:hAnsi="Times New Roman" w:cs="Times New Roman"/>
                <w:iCs/>
                <w:color w:val="000000"/>
                <w:sz w:val="24"/>
                <w:szCs w:val="24"/>
                <w:lang w:eastAsia="hr-HR"/>
              </w:rPr>
              <w:t>e</w:t>
            </w:r>
            <w:r w:rsidR="00FC2077" w:rsidRPr="00A55BE8">
              <w:rPr>
                <w:rFonts w:ascii="Times New Roman" w:eastAsia="Times New Roman" w:hAnsi="Times New Roman" w:cs="Times New Roman"/>
                <w:iCs/>
                <w:color w:val="000000"/>
                <w:sz w:val="24"/>
                <w:szCs w:val="24"/>
                <w:lang w:eastAsia="hr-HR"/>
              </w:rPr>
              <w:t xml:space="preserve"> štetn</w:t>
            </w:r>
            <w:r w:rsidR="0052328E" w:rsidRPr="00A55BE8">
              <w:rPr>
                <w:rFonts w:ascii="Times New Roman" w:eastAsia="Times New Roman" w:hAnsi="Times New Roman" w:cs="Times New Roman"/>
                <w:iCs/>
                <w:color w:val="000000"/>
                <w:sz w:val="24"/>
                <w:szCs w:val="24"/>
                <w:lang w:eastAsia="hr-HR"/>
              </w:rPr>
              <w:t>osti na radu i u radnom okolišu)</w:t>
            </w:r>
            <w:r w:rsidR="00FC2077" w:rsidRPr="00A55BE8">
              <w:rPr>
                <w:rFonts w:ascii="Times New Roman" w:eastAsia="Times New Roman" w:hAnsi="Times New Roman" w:cs="Times New Roman"/>
                <w:iCs/>
                <w:color w:val="000000"/>
                <w:sz w:val="24"/>
                <w:szCs w:val="24"/>
                <w:lang w:eastAsia="hr-HR"/>
              </w:rPr>
              <w:t xml:space="preserve"> te zaštitu </w:t>
            </w:r>
            <w:r w:rsidR="009905AB" w:rsidRPr="00A55BE8">
              <w:rPr>
                <w:rFonts w:ascii="Times New Roman" w:eastAsia="Times New Roman" w:hAnsi="Times New Roman" w:cs="Times New Roman"/>
                <w:iCs/>
                <w:color w:val="000000"/>
                <w:sz w:val="24"/>
                <w:szCs w:val="24"/>
                <w:lang w:eastAsia="hr-HR"/>
              </w:rPr>
              <w:t xml:space="preserve">radnika </w:t>
            </w:r>
            <w:r w:rsidR="00FC2077" w:rsidRPr="00A55BE8">
              <w:rPr>
                <w:rFonts w:ascii="Times New Roman" w:eastAsia="Times New Roman" w:hAnsi="Times New Roman" w:cs="Times New Roman"/>
                <w:iCs/>
                <w:color w:val="000000"/>
                <w:sz w:val="24"/>
                <w:szCs w:val="24"/>
                <w:lang w:eastAsia="hr-HR"/>
              </w:rPr>
              <w:t xml:space="preserve">od povećanih psihosocijalnih rizika. </w:t>
            </w:r>
          </w:p>
          <w:p w:rsidR="00B329CC" w:rsidRPr="00681145" w:rsidRDefault="00FC2077"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t>1.1.4</w:t>
            </w:r>
            <w:r w:rsidR="00681145" w:rsidRPr="00681145">
              <w:rPr>
                <w:rFonts w:ascii="Times New Roman" w:eastAsia="Times New Roman" w:hAnsi="Times New Roman" w:cs="Times New Roman"/>
                <w:b/>
                <w:iCs/>
                <w:color w:val="000000"/>
                <w:sz w:val="24"/>
                <w:szCs w:val="24"/>
                <w:lang w:eastAsia="hr-HR"/>
              </w:rPr>
              <w:t xml:space="preserve">. </w:t>
            </w:r>
            <w:r w:rsidR="00B329CC" w:rsidRPr="00681145">
              <w:rPr>
                <w:rFonts w:ascii="Times New Roman" w:eastAsia="Times New Roman" w:hAnsi="Times New Roman" w:cs="Times New Roman"/>
                <w:b/>
                <w:iCs/>
                <w:color w:val="000000"/>
                <w:sz w:val="24"/>
                <w:szCs w:val="24"/>
                <w:lang w:eastAsia="hr-HR"/>
              </w:rPr>
              <w:t>Hitna medicina</w:t>
            </w:r>
          </w:p>
          <w:p w:rsidR="00B329CC" w:rsidRPr="00B329CC" w:rsidRDefault="00E740D0" w:rsidP="00B329CC">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S obzirom na n</w:t>
            </w:r>
            <w:r w:rsidR="00B329CC" w:rsidRPr="00B329CC">
              <w:rPr>
                <w:rFonts w:ascii="Times New Roman" w:eastAsia="Times New Roman" w:hAnsi="Times New Roman" w:cs="Times New Roman"/>
                <w:iCs/>
                <w:color w:val="000000"/>
                <w:sz w:val="24"/>
                <w:szCs w:val="24"/>
                <w:lang w:eastAsia="hr-HR"/>
              </w:rPr>
              <w:t>edovoljn</w:t>
            </w:r>
            <w:r>
              <w:rPr>
                <w:rFonts w:ascii="Times New Roman" w:eastAsia="Times New Roman" w:hAnsi="Times New Roman" w:cs="Times New Roman"/>
                <w:iCs/>
                <w:color w:val="000000"/>
                <w:sz w:val="24"/>
                <w:szCs w:val="24"/>
                <w:lang w:eastAsia="hr-HR"/>
              </w:rPr>
              <w:t>u</w:t>
            </w:r>
            <w:r w:rsidR="00B329CC" w:rsidRPr="00B329CC">
              <w:rPr>
                <w:rFonts w:ascii="Times New Roman" w:eastAsia="Times New Roman" w:hAnsi="Times New Roman" w:cs="Times New Roman"/>
                <w:iCs/>
                <w:color w:val="000000"/>
                <w:sz w:val="24"/>
                <w:szCs w:val="24"/>
                <w:lang w:eastAsia="hr-HR"/>
              </w:rPr>
              <w:t xml:space="preserve"> povezanost između pr</w:t>
            </w:r>
            <w:r>
              <w:rPr>
                <w:rFonts w:ascii="Times New Roman" w:eastAsia="Times New Roman" w:hAnsi="Times New Roman" w:cs="Times New Roman"/>
                <w:iCs/>
                <w:color w:val="000000"/>
                <w:sz w:val="24"/>
                <w:szCs w:val="24"/>
                <w:lang w:eastAsia="hr-HR"/>
              </w:rPr>
              <w:t>užatelja usluga hitne medicine, p</w:t>
            </w:r>
            <w:r w:rsidR="00B329CC" w:rsidRPr="00B329CC">
              <w:rPr>
                <w:rFonts w:ascii="Times New Roman" w:eastAsia="Times New Roman" w:hAnsi="Times New Roman" w:cs="Times New Roman"/>
                <w:iCs/>
                <w:color w:val="000000"/>
                <w:sz w:val="24"/>
                <w:szCs w:val="24"/>
                <w:lang w:eastAsia="hr-HR"/>
              </w:rPr>
              <w:t xml:space="preserve">otrebno je unaprijediti </w:t>
            </w:r>
            <w:r>
              <w:rPr>
                <w:rFonts w:ascii="Times New Roman" w:eastAsia="Times New Roman" w:hAnsi="Times New Roman" w:cs="Times New Roman"/>
                <w:iCs/>
                <w:color w:val="000000"/>
                <w:sz w:val="24"/>
                <w:szCs w:val="24"/>
                <w:lang w:eastAsia="hr-HR"/>
              </w:rPr>
              <w:t>ovu djelatnost te</w:t>
            </w:r>
            <w:r w:rsidR="00B329CC" w:rsidRPr="00B329CC">
              <w:rPr>
                <w:rFonts w:ascii="Times New Roman" w:eastAsia="Times New Roman" w:hAnsi="Times New Roman" w:cs="Times New Roman"/>
                <w:iCs/>
                <w:color w:val="000000"/>
                <w:sz w:val="24"/>
                <w:szCs w:val="24"/>
                <w:lang w:eastAsia="hr-HR"/>
              </w:rPr>
              <w:t xml:space="preserve"> provesti funkcionalnu integraciju zavoda za hitnu medicinu s pružateljima primarne zdravstvene zaštite i objedinjenim hitnim bolničkim prijemom.</w:t>
            </w:r>
          </w:p>
          <w:p w:rsidR="00B329CC" w:rsidRPr="00681145" w:rsidRDefault="00FC2077"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t>1.1.5</w:t>
            </w:r>
            <w:r w:rsidR="00681145" w:rsidRPr="00681145">
              <w:rPr>
                <w:rFonts w:ascii="Times New Roman" w:eastAsia="Times New Roman" w:hAnsi="Times New Roman" w:cs="Times New Roman"/>
                <w:b/>
                <w:iCs/>
                <w:color w:val="000000"/>
                <w:sz w:val="24"/>
                <w:szCs w:val="24"/>
                <w:lang w:eastAsia="hr-HR"/>
              </w:rPr>
              <w:t>. Palijativna skrb</w:t>
            </w:r>
          </w:p>
          <w:p w:rsidR="00B329CC" w:rsidRPr="00B329CC" w:rsidRDefault="00B329CC" w:rsidP="00B329CC">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B329CC">
              <w:rPr>
                <w:rFonts w:ascii="Times New Roman" w:eastAsia="Times New Roman" w:hAnsi="Times New Roman" w:cs="Times New Roman"/>
                <w:iCs/>
                <w:color w:val="000000"/>
                <w:sz w:val="24"/>
                <w:szCs w:val="24"/>
                <w:lang w:eastAsia="hr-HR"/>
              </w:rPr>
              <w:t>Prema procjenama, populaciju kojoj je potreban neki oblik palijativne skrbi čini između 50% i 89% svih umirućih pacijenata, što bi u Republici Hrvatskoj bilo  najmanje 26.</w:t>
            </w:r>
            <w:r w:rsidRPr="00A55BE8">
              <w:rPr>
                <w:rFonts w:ascii="Times New Roman" w:eastAsia="Times New Roman" w:hAnsi="Times New Roman" w:cs="Times New Roman"/>
                <w:iCs/>
                <w:color w:val="000000"/>
                <w:sz w:val="24"/>
                <w:szCs w:val="24"/>
                <w:lang w:eastAsia="hr-HR"/>
              </w:rPr>
              <w:t xml:space="preserve">000 </w:t>
            </w:r>
            <w:r w:rsidR="002C1516" w:rsidRPr="00A55BE8">
              <w:rPr>
                <w:rFonts w:ascii="Times New Roman" w:eastAsia="Times New Roman" w:hAnsi="Times New Roman" w:cs="Times New Roman"/>
                <w:iCs/>
                <w:color w:val="000000"/>
                <w:sz w:val="24"/>
                <w:szCs w:val="24"/>
                <w:lang w:eastAsia="hr-HR"/>
              </w:rPr>
              <w:t>do 46 000</w:t>
            </w:r>
            <w:r w:rsidR="002C1516" w:rsidRPr="002C1516">
              <w:rPr>
                <w:rFonts w:ascii="Times New Roman" w:eastAsia="Times New Roman" w:hAnsi="Times New Roman" w:cs="Times New Roman"/>
                <w:b/>
                <w:iCs/>
                <w:color w:val="000000"/>
                <w:sz w:val="24"/>
                <w:szCs w:val="24"/>
                <w:lang w:eastAsia="hr-HR"/>
              </w:rPr>
              <w:t xml:space="preserve"> </w:t>
            </w:r>
            <w:r w:rsidRPr="00F06BAC">
              <w:rPr>
                <w:rFonts w:ascii="Times New Roman" w:eastAsia="Times New Roman" w:hAnsi="Times New Roman" w:cs="Times New Roman"/>
                <w:iCs/>
                <w:color w:val="000000"/>
                <w:sz w:val="24"/>
                <w:szCs w:val="24"/>
                <w:lang w:eastAsia="hr-HR"/>
              </w:rPr>
              <w:t>pacijenata</w:t>
            </w:r>
            <w:r w:rsidR="002C1516" w:rsidRPr="00F06BAC">
              <w:rPr>
                <w:rFonts w:ascii="Times New Roman" w:eastAsia="Times New Roman" w:hAnsi="Times New Roman" w:cs="Times New Roman"/>
                <w:iCs/>
                <w:color w:val="000000"/>
                <w:sz w:val="24"/>
                <w:szCs w:val="24"/>
                <w:lang w:eastAsia="hr-HR"/>
              </w:rPr>
              <w:t xml:space="preserve"> </w:t>
            </w:r>
            <w:r w:rsidRPr="00B329CC">
              <w:rPr>
                <w:rFonts w:ascii="Times New Roman" w:eastAsia="Times New Roman" w:hAnsi="Times New Roman" w:cs="Times New Roman"/>
                <w:iCs/>
                <w:color w:val="000000"/>
                <w:sz w:val="24"/>
                <w:szCs w:val="24"/>
                <w:lang w:eastAsia="hr-HR"/>
              </w:rPr>
              <w:t xml:space="preserve">godišnje. Najmanje 20% pacijenata oboljelih od tumora i 5% </w:t>
            </w:r>
            <w:proofErr w:type="spellStart"/>
            <w:r w:rsidRPr="00B329CC">
              <w:rPr>
                <w:rFonts w:ascii="Times New Roman" w:eastAsia="Times New Roman" w:hAnsi="Times New Roman" w:cs="Times New Roman"/>
                <w:iCs/>
                <w:color w:val="000000"/>
                <w:sz w:val="24"/>
                <w:szCs w:val="24"/>
                <w:lang w:eastAsia="hr-HR"/>
              </w:rPr>
              <w:t>neonkoloških</w:t>
            </w:r>
            <w:proofErr w:type="spellEnd"/>
            <w:r w:rsidRPr="00B329CC">
              <w:rPr>
                <w:rFonts w:ascii="Times New Roman" w:eastAsia="Times New Roman" w:hAnsi="Times New Roman" w:cs="Times New Roman"/>
                <w:iCs/>
                <w:color w:val="000000"/>
                <w:sz w:val="24"/>
                <w:szCs w:val="24"/>
                <w:lang w:eastAsia="hr-HR"/>
              </w:rPr>
              <w:t xml:space="preserve"> pacijenata zahtijevaju specijalističku palijativnu skrb u posljednjih godinu dana njihova života.</w:t>
            </w:r>
          </w:p>
          <w:p w:rsidR="00B329CC" w:rsidRDefault="00B329CC" w:rsidP="00B329CC">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B329CC">
              <w:rPr>
                <w:rFonts w:ascii="Times New Roman" w:eastAsia="Times New Roman" w:hAnsi="Times New Roman" w:cs="Times New Roman"/>
                <w:iCs/>
                <w:color w:val="000000"/>
                <w:sz w:val="24"/>
                <w:szCs w:val="24"/>
                <w:lang w:eastAsia="hr-HR"/>
              </w:rPr>
              <w:t xml:space="preserve">Dosadašnji zakonski okvir nije dostatan za sustavno uređenje palijativne skrbi na sve tri razine zdravstvene zaštite, i implementaciju Strateškog plana razvoja palijativne skrbi. Usvajanjem Strateškog plana razvoja palijativne  skrbi </w:t>
            </w:r>
            <w:r w:rsidR="00681145">
              <w:rPr>
                <w:rFonts w:ascii="Times New Roman" w:eastAsia="Times New Roman" w:hAnsi="Times New Roman" w:cs="Times New Roman"/>
                <w:iCs/>
                <w:color w:val="000000"/>
                <w:sz w:val="24"/>
                <w:szCs w:val="24"/>
                <w:lang w:eastAsia="hr-HR"/>
              </w:rPr>
              <w:t xml:space="preserve">2014.-2016. </w:t>
            </w:r>
            <w:r w:rsidRPr="00B329CC">
              <w:rPr>
                <w:rFonts w:ascii="Times New Roman" w:eastAsia="Times New Roman" w:hAnsi="Times New Roman" w:cs="Times New Roman"/>
                <w:iCs/>
                <w:color w:val="000000"/>
                <w:sz w:val="24"/>
                <w:szCs w:val="24"/>
                <w:lang w:eastAsia="hr-HR"/>
              </w:rPr>
              <w:t>planirano je pružanje palijativne skrbi i u stacionarima domova zdravlja, kao i pružanje palijativne skrbi na tercijarnoj razini zdravstvene zaštite kako bi se i kliničke ustanove uključile u mrežu bolnica koje osiguravaju specifične oblike liječenja pojedinih skupina palijativnih pacijenata. Izmjenom Mreže javne zdravstvene službe 2015. uvedeni su koordinatori palijativne skrbi koji imaju važno mjesto u koordiniranju svih dionika palijativne skrbi, a koji su dio djelatnosti doma zdravlja.</w:t>
            </w:r>
          </w:p>
          <w:p w:rsidR="00FC2077" w:rsidRPr="00681145" w:rsidRDefault="00FC2077" w:rsidP="00FC2077">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t xml:space="preserve">1.1.6. </w:t>
            </w:r>
            <w:r w:rsidRPr="00681145">
              <w:rPr>
                <w:rFonts w:ascii="Times New Roman" w:eastAsia="Times New Roman" w:hAnsi="Times New Roman" w:cs="Times New Roman"/>
                <w:b/>
                <w:iCs/>
                <w:color w:val="000000"/>
                <w:sz w:val="24"/>
                <w:szCs w:val="24"/>
                <w:lang w:eastAsia="hr-HR"/>
              </w:rPr>
              <w:t xml:space="preserve">Privatna praksa </w:t>
            </w:r>
          </w:p>
          <w:p w:rsidR="00FC2077" w:rsidRPr="00B329CC"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B329CC">
              <w:rPr>
                <w:rFonts w:ascii="Times New Roman" w:eastAsia="Times New Roman" w:hAnsi="Times New Roman" w:cs="Times New Roman"/>
                <w:iCs/>
                <w:color w:val="000000"/>
                <w:sz w:val="24"/>
                <w:szCs w:val="24"/>
                <w:lang w:eastAsia="hr-HR"/>
              </w:rPr>
              <w:lastRenderedPageBreak/>
              <w:t>Privatnu praksu obavlja osobnim radom nositelj privatne prakse, ali je potrebno razmotriti mogućnost dodatnog zapošljavanja u privatnoj praksi radi omogućavanja nesmetanog i kvalitetnog pružanja zdravstvenih usluga u situacijama povećane potrebe za zdravstvenim uslugama (</w:t>
            </w:r>
            <w:r w:rsidRPr="0094135A">
              <w:rPr>
                <w:rFonts w:ascii="Times New Roman" w:eastAsia="Times New Roman" w:hAnsi="Times New Roman" w:cs="Times New Roman"/>
                <w:iCs/>
                <w:color w:val="000000"/>
                <w:sz w:val="24"/>
                <w:szCs w:val="24"/>
                <w:lang w:eastAsia="hr-HR"/>
              </w:rPr>
              <w:t>povećane potrebe vezane uz povećanje broja korisnika kod velikih sezonskih migracija</w:t>
            </w:r>
            <w:r w:rsidRPr="00B329CC">
              <w:rPr>
                <w:rFonts w:ascii="Times New Roman" w:eastAsia="Times New Roman" w:hAnsi="Times New Roman" w:cs="Times New Roman"/>
                <w:iCs/>
                <w:color w:val="000000"/>
                <w:sz w:val="24"/>
                <w:szCs w:val="24"/>
                <w:lang w:eastAsia="hr-HR"/>
              </w:rPr>
              <w:t xml:space="preserve">), zamjene za vrijeme godišnjih odmora i u sličnim situacijama. </w:t>
            </w:r>
            <w:r>
              <w:rPr>
                <w:rFonts w:ascii="Times New Roman" w:eastAsia="Times New Roman" w:hAnsi="Times New Roman" w:cs="Times New Roman"/>
                <w:iCs/>
                <w:color w:val="000000"/>
                <w:sz w:val="24"/>
                <w:szCs w:val="24"/>
                <w:lang w:eastAsia="hr-HR"/>
              </w:rPr>
              <w:t xml:space="preserve"> </w:t>
            </w:r>
          </w:p>
          <w:p w:rsidR="001C6D9E" w:rsidRDefault="00506FB7" w:rsidP="004F4DA1">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506FB7">
              <w:rPr>
                <w:rFonts w:ascii="Times New Roman" w:eastAsia="Times New Roman" w:hAnsi="Times New Roman" w:cs="Times New Roman"/>
                <w:b/>
                <w:iCs/>
                <w:color w:val="000000"/>
                <w:sz w:val="24"/>
                <w:szCs w:val="24"/>
                <w:lang w:eastAsia="hr-HR"/>
              </w:rPr>
              <w:t>1.</w:t>
            </w:r>
            <w:r w:rsidR="00B329CC" w:rsidRPr="00506FB7">
              <w:rPr>
                <w:rFonts w:ascii="Times New Roman" w:eastAsia="Times New Roman" w:hAnsi="Times New Roman" w:cs="Times New Roman"/>
                <w:b/>
                <w:iCs/>
                <w:color w:val="000000"/>
                <w:sz w:val="24"/>
                <w:szCs w:val="24"/>
                <w:lang w:eastAsia="hr-HR"/>
              </w:rPr>
              <w:t>2</w:t>
            </w:r>
            <w:r w:rsidR="004F4DA1" w:rsidRPr="00506FB7">
              <w:rPr>
                <w:rFonts w:ascii="Times New Roman" w:eastAsia="Times New Roman" w:hAnsi="Times New Roman" w:cs="Times New Roman"/>
                <w:b/>
                <w:iCs/>
                <w:color w:val="000000"/>
                <w:sz w:val="24"/>
                <w:szCs w:val="24"/>
                <w:lang w:eastAsia="hr-HR"/>
              </w:rPr>
              <w:t xml:space="preserve">. </w:t>
            </w:r>
            <w:r w:rsidR="007E793B">
              <w:rPr>
                <w:rFonts w:ascii="Times New Roman" w:eastAsia="Times New Roman" w:hAnsi="Times New Roman" w:cs="Times New Roman"/>
                <w:b/>
                <w:iCs/>
                <w:color w:val="000000"/>
                <w:sz w:val="24"/>
                <w:szCs w:val="24"/>
                <w:lang w:eastAsia="hr-HR"/>
              </w:rPr>
              <w:t>Bolnička</w:t>
            </w:r>
            <w:r w:rsidRPr="00506FB7">
              <w:rPr>
                <w:rFonts w:ascii="Times New Roman" w:eastAsia="Times New Roman" w:hAnsi="Times New Roman" w:cs="Times New Roman"/>
                <w:b/>
                <w:iCs/>
                <w:color w:val="000000"/>
                <w:sz w:val="24"/>
                <w:szCs w:val="24"/>
                <w:lang w:eastAsia="hr-HR"/>
              </w:rPr>
              <w:t xml:space="preserve"> zdravstvena zaštita </w:t>
            </w:r>
          </w:p>
          <w:p w:rsidR="004F4DA1" w:rsidRDefault="004F4DA1"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F4DA1">
              <w:rPr>
                <w:rFonts w:ascii="Times New Roman" w:eastAsia="Times New Roman" w:hAnsi="Times New Roman" w:cs="Times New Roman"/>
                <w:iCs/>
                <w:color w:val="000000"/>
                <w:sz w:val="24"/>
                <w:szCs w:val="24"/>
                <w:lang w:eastAsia="hr-HR"/>
              </w:rPr>
              <w:t xml:space="preserve">Nacionalna strategija razvoja zdravstva od 2012. do 2020. jedan je od ključnih dokumenata vezanih uz razvoj zdravstva </w:t>
            </w:r>
            <w:r w:rsidR="000A40FB">
              <w:rPr>
                <w:rFonts w:ascii="Times New Roman" w:eastAsia="Times New Roman" w:hAnsi="Times New Roman" w:cs="Times New Roman"/>
                <w:iCs/>
                <w:color w:val="000000"/>
                <w:sz w:val="24"/>
                <w:szCs w:val="24"/>
                <w:lang w:eastAsia="hr-HR"/>
              </w:rPr>
              <w:t xml:space="preserve">u Republici Hrvatskoj. S tim u </w:t>
            </w:r>
            <w:r w:rsidRPr="004F4DA1">
              <w:rPr>
                <w:rFonts w:ascii="Times New Roman" w:eastAsia="Times New Roman" w:hAnsi="Times New Roman" w:cs="Times New Roman"/>
                <w:iCs/>
                <w:color w:val="000000"/>
                <w:sz w:val="24"/>
                <w:szCs w:val="24"/>
                <w:lang w:eastAsia="hr-HR"/>
              </w:rPr>
              <w:t>vezi, nužno je novim Zakonom o zdravstvenoj zaštiti uvesti dva nova načela, koja su u skladu sa reformskim mjerama koje se provode u reorganizaciji bolničke zdravstvene</w:t>
            </w:r>
            <w:r w:rsidR="00DE6658">
              <w:rPr>
                <w:rFonts w:ascii="Times New Roman" w:eastAsia="Times New Roman" w:hAnsi="Times New Roman" w:cs="Times New Roman"/>
                <w:iCs/>
                <w:color w:val="000000"/>
                <w:sz w:val="24"/>
                <w:szCs w:val="24"/>
                <w:lang w:eastAsia="hr-HR"/>
              </w:rPr>
              <w:t xml:space="preserve"> zaštite, a koja nisu određena važećim</w:t>
            </w:r>
            <w:r w:rsidRPr="004F4DA1">
              <w:rPr>
                <w:rFonts w:ascii="Times New Roman" w:eastAsia="Times New Roman" w:hAnsi="Times New Roman" w:cs="Times New Roman"/>
                <w:iCs/>
                <w:color w:val="000000"/>
                <w:sz w:val="24"/>
                <w:szCs w:val="24"/>
                <w:lang w:eastAsia="hr-HR"/>
              </w:rPr>
              <w:t xml:space="preserve"> Zakonom o zdravstvenoj zaštiti. Prvo od tih načela je</w:t>
            </w:r>
            <w:r w:rsidR="00E740D0">
              <w:rPr>
                <w:rFonts w:ascii="Times New Roman" w:eastAsia="Times New Roman" w:hAnsi="Times New Roman" w:cs="Times New Roman"/>
                <w:iCs/>
                <w:color w:val="000000"/>
                <w:sz w:val="24"/>
                <w:szCs w:val="24"/>
                <w:lang w:eastAsia="hr-HR"/>
              </w:rPr>
              <w:t>st</w:t>
            </w:r>
            <w:r w:rsidRPr="004F4DA1">
              <w:rPr>
                <w:rFonts w:ascii="Times New Roman" w:eastAsia="Times New Roman" w:hAnsi="Times New Roman" w:cs="Times New Roman"/>
                <w:iCs/>
                <w:color w:val="000000"/>
                <w:sz w:val="24"/>
                <w:szCs w:val="24"/>
                <w:lang w:eastAsia="hr-HR"/>
              </w:rPr>
              <w:t xml:space="preserve"> načelo supsidijarnosti koje, u skladu sa planovima i strategijama u području zdravstva, osigurava da se zdravstveni problemi rješavaju na najnižoj razini pružanja zdravstvene zaštite na kojoj je to moguće. Drugo načelo, načelo funkcionalne integracije </w:t>
            </w:r>
            <w:r w:rsidR="00857185">
              <w:rPr>
                <w:rFonts w:ascii="Times New Roman" w:eastAsia="Times New Roman" w:hAnsi="Times New Roman" w:cs="Times New Roman"/>
                <w:iCs/>
                <w:color w:val="000000"/>
                <w:sz w:val="24"/>
                <w:szCs w:val="24"/>
                <w:lang w:eastAsia="hr-HR"/>
              </w:rPr>
              <w:t xml:space="preserve">putem povezivanja određenih </w:t>
            </w:r>
            <w:r w:rsidRPr="004F4DA1">
              <w:rPr>
                <w:rFonts w:ascii="Times New Roman" w:eastAsia="Times New Roman" w:hAnsi="Times New Roman" w:cs="Times New Roman"/>
                <w:iCs/>
                <w:color w:val="000000"/>
                <w:sz w:val="24"/>
                <w:szCs w:val="24"/>
                <w:lang w:eastAsia="hr-HR"/>
              </w:rPr>
              <w:t>bolnica omogućuje preraspodjelu i</w:t>
            </w:r>
            <w:r w:rsidR="00857185">
              <w:rPr>
                <w:rFonts w:ascii="Times New Roman" w:eastAsia="Times New Roman" w:hAnsi="Times New Roman" w:cs="Times New Roman"/>
                <w:iCs/>
                <w:color w:val="000000"/>
                <w:sz w:val="24"/>
                <w:szCs w:val="24"/>
                <w:lang w:eastAsia="hr-HR"/>
              </w:rPr>
              <w:t xml:space="preserve"> koncentraciju bolničkih usluga te</w:t>
            </w:r>
            <w:r w:rsidRPr="004F4DA1">
              <w:rPr>
                <w:rFonts w:ascii="Times New Roman" w:eastAsia="Times New Roman" w:hAnsi="Times New Roman" w:cs="Times New Roman"/>
                <w:iCs/>
                <w:color w:val="000000"/>
                <w:sz w:val="24"/>
                <w:szCs w:val="24"/>
                <w:lang w:eastAsia="hr-HR"/>
              </w:rPr>
              <w:t xml:space="preserve"> bolje iskorištavanje svih ugovorenih kapaciteta,</w:t>
            </w:r>
            <w:r w:rsidR="00CE13A1">
              <w:rPr>
                <w:rFonts w:ascii="Times New Roman" w:eastAsia="Times New Roman" w:hAnsi="Times New Roman" w:cs="Times New Roman"/>
                <w:iCs/>
                <w:color w:val="000000"/>
                <w:sz w:val="24"/>
                <w:szCs w:val="24"/>
                <w:lang w:eastAsia="hr-HR"/>
              </w:rPr>
              <w:t xml:space="preserve"> kao i </w:t>
            </w:r>
            <w:r w:rsidRPr="004F4DA1">
              <w:rPr>
                <w:rFonts w:ascii="Times New Roman" w:eastAsia="Times New Roman" w:hAnsi="Times New Roman" w:cs="Times New Roman"/>
                <w:iCs/>
                <w:color w:val="000000"/>
                <w:sz w:val="24"/>
                <w:szCs w:val="24"/>
                <w:lang w:eastAsia="hr-HR"/>
              </w:rPr>
              <w:t xml:space="preserve">otvaranje mogućnosti  ugovaranja novih kapaciteta gdje za to postoji potreba. </w:t>
            </w:r>
          </w:p>
          <w:p w:rsidR="002C1516" w:rsidRPr="00A55BE8" w:rsidRDefault="002C1516"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Potrebno je jasnije zakonski definirati kategorizacije bolnica, uključujući mogućnost obavljanja određene djelatnosti zbog specifičnosti morbiditeta gravitirajućeg stanovništva.</w:t>
            </w:r>
          </w:p>
          <w:p w:rsidR="004F4DA1" w:rsidRPr="004F4DA1" w:rsidRDefault="001C6D9E"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Važeći </w:t>
            </w:r>
            <w:r w:rsidR="004F4DA1" w:rsidRPr="004F4DA1">
              <w:rPr>
                <w:rFonts w:ascii="Times New Roman" w:eastAsia="Times New Roman" w:hAnsi="Times New Roman" w:cs="Times New Roman"/>
                <w:iCs/>
                <w:color w:val="000000"/>
                <w:sz w:val="24"/>
                <w:szCs w:val="24"/>
                <w:lang w:eastAsia="hr-HR"/>
              </w:rPr>
              <w:t xml:space="preserve">Zakon o zdravstvenoj zaštiti ne definira dnevnu bolnicu, stoga je istu potrebno </w:t>
            </w:r>
            <w:r w:rsidR="00E740D0">
              <w:rPr>
                <w:rFonts w:ascii="Times New Roman" w:eastAsia="Times New Roman" w:hAnsi="Times New Roman" w:cs="Times New Roman"/>
                <w:iCs/>
                <w:color w:val="000000"/>
                <w:sz w:val="24"/>
                <w:szCs w:val="24"/>
                <w:lang w:eastAsia="hr-HR"/>
              </w:rPr>
              <w:t>regulirati</w:t>
            </w:r>
            <w:r w:rsidR="004F4DA1" w:rsidRPr="004F4DA1">
              <w:rPr>
                <w:rFonts w:ascii="Times New Roman" w:eastAsia="Times New Roman" w:hAnsi="Times New Roman" w:cs="Times New Roman"/>
                <w:iCs/>
                <w:color w:val="000000"/>
                <w:sz w:val="24"/>
                <w:szCs w:val="24"/>
                <w:lang w:eastAsia="hr-HR"/>
              </w:rPr>
              <w:t xml:space="preserve"> novim Zakonom. Naime, Nacionalnom strategijom razvoja zdravstva od 2012. do 2020. predviđa se racionalizacija akutne bolničke skrbi kroz povećanje kapaciteta i broja usluga dnevne bolnice, a za provedbu ove mjere predviđena su i financijska sredstva u okviru Operativnog programa „Konkurentnost i kohezija“ 2014.-2020.</w:t>
            </w:r>
          </w:p>
          <w:p w:rsidR="004F4DA1" w:rsidRPr="004F4DA1" w:rsidRDefault="004F4DA1"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F4DA1">
              <w:rPr>
                <w:rFonts w:ascii="Times New Roman" w:eastAsia="Times New Roman" w:hAnsi="Times New Roman" w:cs="Times New Roman"/>
                <w:iCs/>
                <w:color w:val="000000"/>
                <w:sz w:val="24"/>
                <w:szCs w:val="24"/>
                <w:lang w:eastAsia="hr-HR"/>
              </w:rPr>
              <w:t xml:space="preserve">Nadalje, </w:t>
            </w:r>
            <w:r w:rsidR="001C6D9E">
              <w:rPr>
                <w:rFonts w:ascii="Times New Roman" w:eastAsia="Times New Roman" w:hAnsi="Times New Roman" w:cs="Times New Roman"/>
                <w:iCs/>
                <w:color w:val="000000"/>
                <w:sz w:val="24"/>
                <w:szCs w:val="24"/>
                <w:lang w:eastAsia="hr-HR"/>
              </w:rPr>
              <w:t xml:space="preserve">važeći </w:t>
            </w:r>
            <w:r w:rsidRPr="004F4DA1">
              <w:rPr>
                <w:rFonts w:ascii="Times New Roman" w:eastAsia="Times New Roman" w:hAnsi="Times New Roman" w:cs="Times New Roman"/>
                <w:iCs/>
                <w:color w:val="000000"/>
                <w:sz w:val="24"/>
                <w:szCs w:val="24"/>
                <w:lang w:eastAsia="hr-HR"/>
              </w:rPr>
              <w:t>Zakon o zdravstvenoj zaštiti ne predviđa obavljanje djelatnost palijativne skrbi na tercijarnoj razini zdravstvene zaštite, odnosno u kliničkim ustanovama, već se ista može obavljati samo na primarnoj i sekundarnoj razini zdravstvene zaštite. Razlog za uvođenje palijativne skrbi na tercijarnoj razini je</w:t>
            </w:r>
            <w:r w:rsidR="00E740D0">
              <w:rPr>
                <w:rFonts w:ascii="Times New Roman" w:eastAsia="Times New Roman" w:hAnsi="Times New Roman" w:cs="Times New Roman"/>
                <w:iCs/>
                <w:color w:val="000000"/>
                <w:sz w:val="24"/>
                <w:szCs w:val="24"/>
                <w:lang w:eastAsia="hr-HR"/>
              </w:rPr>
              <w:t>st</w:t>
            </w:r>
            <w:r w:rsidRPr="004F4DA1">
              <w:rPr>
                <w:rFonts w:ascii="Times New Roman" w:eastAsia="Times New Roman" w:hAnsi="Times New Roman" w:cs="Times New Roman"/>
                <w:iCs/>
                <w:color w:val="000000"/>
                <w:sz w:val="24"/>
                <w:szCs w:val="24"/>
                <w:lang w:eastAsia="hr-HR"/>
              </w:rPr>
              <w:t xml:space="preserve"> taj što se na toj razini zdravstvene zaštite pružaju najsloženiji oblici zdravstvene zaštite što dovodi do potrebe osiguranja obavljanja palijativne skrbi i na tercijarnoj razini zdravstvene zaštite.</w:t>
            </w:r>
          </w:p>
          <w:p w:rsidR="004F4DA1" w:rsidRPr="004F4DA1" w:rsidRDefault="001C6D9E"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Važeći</w:t>
            </w:r>
            <w:r w:rsidR="00E740D0">
              <w:rPr>
                <w:rFonts w:ascii="Times New Roman" w:eastAsia="Times New Roman" w:hAnsi="Times New Roman" w:cs="Times New Roman"/>
                <w:iCs/>
                <w:color w:val="000000"/>
                <w:sz w:val="24"/>
                <w:szCs w:val="24"/>
                <w:lang w:eastAsia="hr-HR"/>
              </w:rPr>
              <w:t>m</w:t>
            </w:r>
            <w:r>
              <w:rPr>
                <w:rFonts w:ascii="Times New Roman" w:eastAsia="Times New Roman" w:hAnsi="Times New Roman" w:cs="Times New Roman"/>
                <w:iCs/>
                <w:color w:val="000000"/>
                <w:sz w:val="24"/>
                <w:szCs w:val="24"/>
                <w:lang w:eastAsia="hr-HR"/>
              </w:rPr>
              <w:t xml:space="preserve"> </w:t>
            </w:r>
            <w:r w:rsidR="004F4DA1" w:rsidRPr="004F4DA1">
              <w:rPr>
                <w:rFonts w:ascii="Times New Roman" w:eastAsia="Times New Roman" w:hAnsi="Times New Roman" w:cs="Times New Roman"/>
                <w:iCs/>
                <w:color w:val="000000"/>
                <w:sz w:val="24"/>
                <w:szCs w:val="24"/>
                <w:lang w:eastAsia="hr-HR"/>
              </w:rPr>
              <w:t xml:space="preserve">Zakonom o zdravstvenoj zaštiti nije definiran Nacionalni registar pružatelja zdravstvene zaštite koji će obuhvaćati sve pružatelje zdravstvene zaštite te uz osnovne podatke sadržavati  i ostale relevantne podatke o bolničkim zdravstvenim ustanovama. </w:t>
            </w:r>
          </w:p>
          <w:p w:rsidR="004F4DA1" w:rsidRPr="004F4DA1" w:rsidRDefault="004F4DA1"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F4DA1">
              <w:rPr>
                <w:rFonts w:ascii="Times New Roman" w:eastAsia="Times New Roman" w:hAnsi="Times New Roman" w:cs="Times New Roman"/>
                <w:iCs/>
                <w:color w:val="000000"/>
                <w:sz w:val="24"/>
                <w:szCs w:val="24"/>
                <w:lang w:eastAsia="hr-HR"/>
              </w:rPr>
              <w:t xml:space="preserve">Radi optimizacije rada bolničkih zdravstvenih ustanova </w:t>
            </w:r>
            <w:r w:rsidR="00E740D0">
              <w:rPr>
                <w:rFonts w:ascii="Times New Roman" w:eastAsia="Times New Roman" w:hAnsi="Times New Roman" w:cs="Times New Roman"/>
                <w:iCs/>
                <w:color w:val="000000"/>
                <w:sz w:val="24"/>
                <w:szCs w:val="24"/>
                <w:lang w:eastAsia="hr-HR"/>
              </w:rPr>
              <w:t xml:space="preserve">zakon bi trebao odrediti </w:t>
            </w:r>
            <w:r w:rsidRPr="004F4DA1">
              <w:rPr>
                <w:rFonts w:ascii="Times New Roman" w:eastAsia="Times New Roman" w:hAnsi="Times New Roman" w:cs="Times New Roman"/>
                <w:iCs/>
                <w:color w:val="000000"/>
                <w:sz w:val="24"/>
                <w:szCs w:val="24"/>
                <w:lang w:eastAsia="hr-HR"/>
              </w:rPr>
              <w:t xml:space="preserve">koje jedinice bolničke zdravstvene ustanove moraju imati u svom sastavu, </w:t>
            </w:r>
            <w:r w:rsidR="00E740D0">
              <w:rPr>
                <w:rFonts w:ascii="Times New Roman" w:eastAsia="Times New Roman" w:hAnsi="Times New Roman" w:cs="Times New Roman"/>
                <w:iCs/>
                <w:color w:val="000000"/>
                <w:sz w:val="24"/>
                <w:szCs w:val="24"/>
                <w:lang w:eastAsia="hr-HR"/>
              </w:rPr>
              <w:t xml:space="preserve">a </w:t>
            </w:r>
            <w:r w:rsidRPr="004F4DA1">
              <w:rPr>
                <w:rFonts w:ascii="Times New Roman" w:eastAsia="Times New Roman" w:hAnsi="Times New Roman" w:cs="Times New Roman"/>
                <w:iCs/>
                <w:color w:val="000000"/>
                <w:sz w:val="24"/>
                <w:szCs w:val="24"/>
                <w:lang w:eastAsia="hr-HR"/>
              </w:rPr>
              <w:t>koje oblike zdrav</w:t>
            </w:r>
            <w:r w:rsidR="00E740D0">
              <w:rPr>
                <w:rFonts w:ascii="Times New Roman" w:eastAsia="Times New Roman" w:hAnsi="Times New Roman" w:cs="Times New Roman"/>
                <w:iCs/>
                <w:color w:val="000000"/>
                <w:sz w:val="24"/>
                <w:szCs w:val="24"/>
                <w:lang w:eastAsia="hr-HR"/>
              </w:rPr>
              <w:t>stvene zaštite moraju osigurati (suradnjom</w:t>
            </w:r>
            <w:r w:rsidRPr="004F4DA1">
              <w:rPr>
                <w:rFonts w:ascii="Times New Roman" w:eastAsia="Times New Roman" w:hAnsi="Times New Roman" w:cs="Times New Roman"/>
                <w:iCs/>
                <w:color w:val="000000"/>
                <w:sz w:val="24"/>
                <w:szCs w:val="24"/>
                <w:lang w:eastAsia="hr-HR"/>
              </w:rPr>
              <w:t xml:space="preserve"> s drugim p</w:t>
            </w:r>
            <w:r w:rsidR="001C6D9E">
              <w:rPr>
                <w:rFonts w:ascii="Times New Roman" w:eastAsia="Times New Roman" w:hAnsi="Times New Roman" w:cs="Times New Roman"/>
                <w:iCs/>
                <w:color w:val="000000"/>
                <w:sz w:val="24"/>
                <w:szCs w:val="24"/>
                <w:lang w:eastAsia="hr-HR"/>
              </w:rPr>
              <w:t>oslovnim subjektima</w:t>
            </w:r>
            <w:r w:rsidR="00E740D0">
              <w:rPr>
                <w:rFonts w:ascii="Times New Roman" w:eastAsia="Times New Roman" w:hAnsi="Times New Roman" w:cs="Times New Roman"/>
                <w:iCs/>
                <w:color w:val="000000"/>
                <w:sz w:val="24"/>
                <w:szCs w:val="24"/>
                <w:lang w:eastAsia="hr-HR"/>
              </w:rPr>
              <w:t>)</w:t>
            </w:r>
            <w:r w:rsidR="001C6D9E">
              <w:rPr>
                <w:rFonts w:ascii="Times New Roman" w:eastAsia="Times New Roman" w:hAnsi="Times New Roman" w:cs="Times New Roman"/>
                <w:iCs/>
                <w:color w:val="000000"/>
                <w:sz w:val="24"/>
                <w:szCs w:val="24"/>
                <w:lang w:eastAsia="hr-HR"/>
              </w:rPr>
              <w:t>. Tako bi ob</w:t>
            </w:r>
            <w:r w:rsidRPr="004F4DA1">
              <w:rPr>
                <w:rFonts w:ascii="Times New Roman" w:eastAsia="Times New Roman" w:hAnsi="Times New Roman" w:cs="Times New Roman"/>
                <w:iCs/>
                <w:color w:val="000000"/>
                <w:sz w:val="24"/>
                <w:szCs w:val="24"/>
                <w:lang w:eastAsia="hr-HR"/>
              </w:rPr>
              <w:t xml:space="preserve">vezne jedinice koje svaka bolnica mora imati bile: jedinica za specijalističko – konzilijarno liječenje i jedinica za bolničko liječenje. </w:t>
            </w:r>
          </w:p>
          <w:p w:rsidR="004F4DA1" w:rsidRPr="004F4DA1" w:rsidRDefault="004F4DA1"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F4DA1">
              <w:rPr>
                <w:rFonts w:ascii="Times New Roman" w:eastAsia="Times New Roman" w:hAnsi="Times New Roman" w:cs="Times New Roman"/>
                <w:iCs/>
                <w:color w:val="000000"/>
                <w:sz w:val="24"/>
                <w:szCs w:val="24"/>
                <w:lang w:eastAsia="hr-HR"/>
              </w:rPr>
              <w:t>Nadalje, problem predstavlja i ro</w:t>
            </w:r>
            <w:r w:rsidR="001C6D9E">
              <w:rPr>
                <w:rFonts w:ascii="Times New Roman" w:eastAsia="Times New Roman" w:hAnsi="Times New Roman" w:cs="Times New Roman"/>
                <w:iCs/>
                <w:color w:val="000000"/>
                <w:sz w:val="24"/>
                <w:szCs w:val="24"/>
                <w:lang w:eastAsia="hr-HR"/>
              </w:rPr>
              <w:t xml:space="preserve">k od 6 mjeseci u kojem, prema važećem </w:t>
            </w:r>
            <w:r w:rsidRPr="004F4DA1">
              <w:rPr>
                <w:rFonts w:ascii="Times New Roman" w:eastAsia="Times New Roman" w:hAnsi="Times New Roman" w:cs="Times New Roman"/>
                <w:iCs/>
                <w:color w:val="000000"/>
                <w:sz w:val="24"/>
                <w:szCs w:val="24"/>
                <w:lang w:eastAsia="hr-HR"/>
              </w:rPr>
              <w:t xml:space="preserve">Zakonu,  zdravstvena ustanova mora podnijeti zahtjev za izdavanje rješenja o početku rada. U situacijama u kojima bolnička zdravstvena ustanova financira prostor/opremu iz sredstava EU te kada rokovi dovršetka projekta ovise o visini i zahtjevnosti projekta i investicije, </w:t>
            </w:r>
            <w:r w:rsidRPr="004F4DA1">
              <w:rPr>
                <w:rFonts w:ascii="Times New Roman" w:eastAsia="Times New Roman" w:hAnsi="Times New Roman" w:cs="Times New Roman"/>
                <w:iCs/>
                <w:color w:val="000000"/>
                <w:sz w:val="24"/>
                <w:szCs w:val="24"/>
                <w:lang w:eastAsia="hr-HR"/>
              </w:rPr>
              <w:lastRenderedPageBreak/>
              <w:t>propisivanje takvih rokova je neprihvatljivo.</w:t>
            </w:r>
          </w:p>
          <w:p w:rsidR="004F4DA1" w:rsidRPr="00A55BE8" w:rsidRDefault="001C6D9E"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Važeći Zakon ne definira u potpunosti r</w:t>
            </w:r>
            <w:r w:rsidR="004F4DA1" w:rsidRPr="00A55BE8">
              <w:rPr>
                <w:rFonts w:ascii="Times New Roman" w:eastAsia="Times New Roman" w:hAnsi="Times New Roman" w:cs="Times New Roman"/>
                <w:iCs/>
                <w:color w:val="000000"/>
                <w:sz w:val="24"/>
                <w:szCs w:val="24"/>
                <w:lang w:eastAsia="hr-HR"/>
              </w:rPr>
              <w:t>efe</w:t>
            </w:r>
            <w:r w:rsidRPr="00A55BE8">
              <w:rPr>
                <w:rFonts w:ascii="Times New Roman" w:eastAsia="Times New Roman" w:hAnsi="Times New Roman" w:cs="Times New Roman"/>
                <w:iCs/>
                <w:color w:val="000000"/>
                <w:sz w:val="24"/>
                <w:szCs w:val="24"/>
                <w:lang w:eastAsia="hr-HR"/>
              </w:rPr>
              <w:t>rentne centre</w:t>
            </w:r>
            <w:r w:rsidR="00FF1215" w:rsidRPr="00A55BE8">
              <w:rPr>
                <w:rFonts w:ascii="Times New Roman" w:eastAsia="Times New Roman" w:hAnsi="Times New Roman" w:cs="Times New Roman"/>
                <w:iCs/>
                <w:color w:val="000000"/>
                <w:sz w:val="24"/>
                <w:szCs w:val="24"/>
                <w:lang w:eastAsia="hr-HR"/>
              </w:rPr>
              <w:t xml:space="preserve"> i njihovu ulogu</w:t>
            </w:r>
            <w:r w:rsidRPr="00A55BE8">
              <w:rPr>
                <w:rFonts w:ascii="Times New Roman" w:eastAsia="Times New Roman" w:hAnsi="Times New Roman" w:cs="Times New Roman"/>
                <w:iCs/>
                <w:color w:val="000000"/>
                <w:sz w:val="24"/>
                <w:szCs w:val="24"/>
                <w:lang w:eastAsia="hr-HR"/>
              </w:rPr>
              <w:t xml:space="preserve">. Budući da </w:t>
            </w:r>
            <w:r w:rsidR="009905AB" w:rsidRPr="00A55BE8">
              <w:rPr>
                <w:rFonts w:ascii="Times New Roman" w:eastAsia="Times New Roman" w:hAnsi="Times New Roman" w:cs="Times New Roman"/>
                <w:iCs/>
                <w:color w:val="000000"/>
                <w:sz w:val="24"/>
                <w:szCs w:val="24"/>
                <w:lang w:eastAsia="hr-HR"/>
              </w:rPr>
              <w:t>postoji mogućnost uključivanja referentnih centara u</w:t>
            </w:r>
            <w:r w:rsidR="004F4DA1" w:rsidRPr="00A55BE8">
              <w:rPr>
                <w:rFonts w:ascii="Times New Roman" w:eastAsia="Times New Roman" w:hAnsi="Times New Roman" w:cs="Times New Roman"/>
                <w:iCs/>
                <w:color w:val="000000"/>
                <w:sz w:val="24"/>
                <w:szCs w:val="24"/>
                <w:lang w:eastAsia="hr-HR"/>
              </w:rPr>
              <w:t xml:space="preserve"> Europsku referentnu mrežu, kojom se postiže suradnja između zdravstvenih sustava u Europskoj uniji, potrebno je urediti mogućnost povezivanja </w:t>
            </w:r>
            <w:r w:rsidR="009905AB" w:rsidRPr="00A55BE8">
              <w:rPr>
                <w:rFonts w:ascii="Times New Roman" w:eastAsia="Times New Roman" w:hAnsi="Times New Roman" w:cs="Times New Roman"/>
                <w:iCs/>
                <w:color w:val="000000"/>
                <w:sz w:val="24"/>
                <w:szCs w:val="24"/>
                <w:lang w:eastAsia="hr-HR"/>
              </w:rPr>
              <w:t xml:space="preserve">hrvatskih </w:t>
            </w:r>
            <w:r w:rsidR="004F4DA1" w:rsidRPr="00A55BE8">
              <w:rPr>
                <w:rFonts w:ascii="Times New Roman" w:eastAsia="Times New Roman" w:hAnsi="Times New Roman" w:cs="Times New Roman"/>
                <w:iCs/>
                <w:color w:val="000000"/>
                <w:sz w:val="24"/>
                <w:szCs w:val="24"/>
                <w:lang w:eastAsia="hr-HR"/>
              </w:rPr>
              <w:t xml:space="preserve">referentnih centara </w:t>
            </w:r>
            <w:r w:rsidR="009905AB" w:rsidRPr="00A55BE8">
              <w:rPr>
                <w:rFonts w:ascii="Times New Roman" w:eastAsia="Times New Roman" w:hAnsi="Times New Roman" w:cs="Times New Roman"/>
                <w:iCs/>
                <w:color w:val="000000"/>
                <w:sz w:val="24"/>
                <w:szCs w:val="24"/>
                <w:lang w:eastAsia="hr-HR"/>
              </w:rPr>
              <w:t>u svojstvu</w:t>
            </w:r>
            <w:r w:rsidR="004F4DA1" w:rsidRPr="00A55BE8">
              <w:rPr>
                <w:rFonts w:ascii="Times New Roman" w:eastAsia="Times New Roman" w:hAnsi="Times New Roman" w:cs="Times New Roman"/>
                <w:iCs/>
                <w:color w:val="000000"/>
                <w:sz w:val="24"/>
                <w:szCs w:val="24"/>
                <w:lang w:eastAsia="hr-HR"/>
              </w:rPr>
              <w:t xml:space="preserve"> član</w:t>
            </w:r>
            <w:r w:rsidR="009905AB" w:rsidRPr="00A55BE8">
              <w:rPr>
                <w:rFonts w:ascii="Times New Roman" w:eastAsia="Times New Roman" w:hAnsi="Times New Roman" w:cs="Times New Roman"/>
                <w:iCs/>
                <w:color w:val="000000"/>
                <w:sz w:val="24"/>
                <w:szCs w:val="24"/>
                <w:lang w:eastAsia="hr-HR"/>
              </w:rPr>
              <w:t>ova</w:t>
            </w:r>
            <w:r w:rsidR="004F4DA1" w:rsidRPr="00A55BE8">
              <w:rPr>
                <w:rFonts w:ascii="Times New Roman" w:eastAsia="Times New Roman" w:hAnsi="Times New Roman" w:cs="Times New Roman"/>
                <w:iCs/>
                <w:color w:val="000000"/>
                <w:sz w:val="24"/>
                <w:szCs w:val="24"/>
                <w:lang w:eastAsia="hr-HR"/>
              </w:rPr>
              <w:t xml:space="preserve"> ili koordinatora </w:t>
            </w:r>
            <w:r w:rsidR="009905AB" w:rsidRPr="00A55BE8">
              <w:rPr>
                <w:rFonts w:ascii="Times New Roman" w:eastAsia="Times New Roman" w:hAnsi="Times New Roman" w:cs="Times New Roman"/>
                <w:iCs/>
                <w:color w:val="000000"/>
                <w:sz w:val="24"/>
                <w:szCs w:val="24"/>
                <w:lang w:eastAsia="hr-HR"/>
              </w:rPr>
              <w:t>Europske referentne mreže</w:t>
            </w:r>
            <w:r w:rsidR="004F4DA1" w:rsidRPr="00A55BE8">
              <w:rPr>
                <w:rFonts w:ascii="Times New Roman" w:eastAsia="Times New Roman" w:hAnsi="Times New Roman" w:cs="Times New Roman"/>
                <w:iCs/>
                <w:color w:val="000000"/>
                <w:sz w:val="24"/>
                <w:szCs w:val="24"/>
                <w:lang w:eastAsia="hr-HR"/>
              </w:rPr>
              <w:t>.</w:t>
            </w:r>
          </w:p>
          <w:p w:rsidR="00AA4ECA" w:rsidRDefault="00AA4ECA" w:rsidP="004F4DA1">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AA4ECA">
              <w:rPr>
                <w:rFonts w:ascii="Times New Roman" w:eastAsia="Times New Roman" w:hAnsi="Times New Roman" w:cs="Times New Roman"/>
                <w:b/>
                <w:iCs/>
                <w:color w:val="000000"/>
                <w:sz w:val="24"/>
                <w:szCs w:val="24"/>
                <w:lang w:eastAsia="hr-HR"/>
              </w:rPr>
              <w:t>1.3. Učinkovito upravljanje ljudskim potencijalima u zdravstvu</w:t>
            </w:r>
          </w:p>
          <w:p w:rsidR="00D70BFC" w:rsidRDefault="00D70BFC" w:rsidP="00AA4ECA">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p>
          <w:p w:rsidR="00AA4ECA" w:rsidRPr="00AA4ECA" w:rsidRDefault="00AA4ECA" w:rsidP="00AA4ECA">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AA4ECA">
              <w:rPr>
                <w:rFonts w:ascii="Times New Roman" w:eastAsia="Times New Roman" w:hAnsi="Times New Roman" w:cs="Times New Roman"/>
                <w:iCs/>
                <w:color w:val="000000"/>
                <w:sz w:val="24"/>
                <w:szCs w:val="24"/>
                <w:lang w:eastAsia="hr-HR"/>
              </w:rPr>
              <w:t>Tablica 4. Broj liječnika u svim zdravstvenim ustanovama</w:t>
            </w:r>
          </w:p>
          <w:p w:rsidR="00AA4ECA" w:rsidRDefault="00AA4ECA" w:rsidP="00D70BFC">
            <w:pPr>
              <w:spacing w:after="0" w:line="240" w:lineRule="auto"/>
              <w:jc w:val="center"/>
              <w:rPr>
                <w:rFonts w:ascii="Times New Roman" w:eastAsia="Times New Roman" w:hAnsi="Times New Roman" w:cs="Times New Roman"/>
                <w:iCs/>
                <w:color w:val="000000"/>
                <w:sz w:val="24"/>
                <w:szCs w:val="24"/>
                <w:lang w:eastAsia="hr-HR"/>
              </w:rPr>
            </w:pPr>
            <w:r w:rsidRPr="006A1E0E">
              <w:rPr>
                <w:noProof/>
                <w:sz w:val="16"/>
                <w:szCs w:val="16"/>
                <w:lang w:eastAsia="hr-HR"/>
              </w:rPr>
              <w:drawing>
                <wp:inline distT="0" distB="0" distL="0" distR="0" wp14:anchorId="1347F074" wp14:editId="49E055CD">
                  <wp:extent cx="4471060" cy="2695698"/>
                  <wp:effectExtent l="0" t="0" r="5715"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0BFC" w:rsidRPr="00D70BFC" w:rsidRDefault="00D70BFC" w:rsidP="00D70BFC">
            <w:pPr>
              <w:spacing w:after="0" w:line="240" w:lineRule="auto"/>
              <w:jc w:val="center"/>
              <w:rPr>
                <w:rFonts w:ascii="Times New Roman" w:eastAsia="Times New Roman" w:hAnsi="Times New Roman" w:cs="Times New Roman"/>
                <w:iCs/>
                <w:color w:val="000000"/>
                <w:sz w:val="20"/>
                <w:szCs w:val="20"/>
                <w:lang w:eastAsia="hr-HR"/>
              </w:rPr>
            </w:pPr>
            <w:r w:rsidRPr="00D70BFC">
              <w:rPr>
                <w:rFonts w:ascii="Times New Roman" w:eastAsia="Times New Roman" w:hAnsi="Times New Roman" w:cs="Times New Roman"/>
                <w:iCs/>
                <w:color w:val="000000"/>
                <w:sz w:val="20"/>
                <w:szCs w:val="20"/>
                <w:lang w:eastAsia="hr-HR"/>
              </w:rPr>
              <w:t>Izvor: podaci Ministarstva zdravstva i Hrvatskog zavoda za zdravstveno osiguranje</w:t>
            </w: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A55BE8" w:rsidRDefault="00A55BE8" w:rsidP="00D70BFC">
            <w:pPr>
              <w:spacing w:after="0" w:line="240" w:lineRule="auto"/>
              <w:jc w:val="center"/>
              <w:rPr>
                <w:rFonts w:ascii="Times New Roman" w:eastAsia="Times New Roman" w:hAnsi="Times New Roman" w:cs="Times New Roman"/>
                <w:iCs/>
                <w:color w:val="000000"/>
                <w:sz w:val="24"/>
                <w:szCs w:val="24"/>
                <w:lang w:eastAsia="hr-HR"/>
              </w:rPr>
            </w:pPr>
          </w:p>
          <w:p w:rsidR="00A55BE8" w:rsidRDefault="00A55BE8" w:rsidP="00D70BFC">
            <w:pPr>
              <w:spacing w:after="0" w:line="240" w:lineRule="auto"/>
              <w:jc w:val="center"/>
              <w:rPr>
                <w:rFonts w:ascii="Times New Roman" w:eastAsia="Times New Roman" w:hAnsi="Times New Roman" w:cs="Times New Roman"/>
                <w:iCs/>
                <w:color w:val="000000"/>
                <w:sz w:val="24"/>
                <w:szCs w:val="24"/>
                <w:lang w:eastAsia="hr-HR"/>
              </w:rPr>
            </w:pPr>
          </w:p>
          <w:p w:rsidR="00A55BE8" w:rsidRDefault="00A55BE8" w:rsidP="00D70BFC">
            <w:pPr>
              <w:spacing w:after="0" w:line="240" w:lineRule="auto"/>
              <w:jc w:val="center"/>
              <w:rPr>
                <w:rFonts w:ascii="Times New Roman" w:eastAsia="Times New Roman" w:hAnsi="Times New Roman" w:cs="Times New Roman"/>
                <w:iCs/>
                <w:color w:val="000000"/>
                <w:sz w:val="24"/>
                <w:szCs w:val="24"/>
                <w:lang w:eastAsia="hr-HR"/>
              </w:rPr>
            </w:pPr>
          </w:p>
          <w:p w:rsidR="00A55BE8" w:rsidRDefault="00A55BE8" w:rsidP="00D70BFC">
            <w:pPr>
              <w:spacing w:after="0" w:line="240" w:lineRule="auto"/>
              <w:jc w:val="center"/>
              <w:rPr>
                <w:rFonts w:ascii="Times New Roman" w:eastAsia="Times New Roman" w:hAnsi="Times New Roman" w:cs="Times New Roman"/>
                <w:iCs/>
                <w:color w:val="000000"/>
                <w:sz w:val="24"/>
                <w:szCs w:val="24"/>
                <w:lang w:eastAsia="hr-HR"/>
              </w:rPr>
            </w:pPr>
          </w:p>
          <w:p w:rsidR="00AA4ECA" w:rsidRDefault="00AA4ECA" w:rsidP="00D70BFC">
            <w:pPr>
              <w:spacing w:after="0" w:line="240" w:lineRule="auto"/>
              <w:jc w:val="cente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Tablica 5. Broj medicinskih sestara u svim zdravstvenim ustanovama</w:t>
            </w: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AA4ECA" w:rsidRDefault="00AA4ECA" w:rsidP="00D70BFC">
            <w:pPr>
              <w:spacing w:after="0" w:line="240" w:lineRule="auto"/>
              <w:jc w:val="center"/>
              <w:rPr>
                <w:rFonts w:ascii="Times New Roman" w:eastAsia="Times New Roman" w:hAnsi="Times New Roman" w:cs="Times New Roman"/>
                <w:iCs/>
                <w:color w:val="000000"/>
                <w:sz w:val="24"/>
                <w:szCs w:val="24"/>
                <w:lang w:eastAsia="hr-HR"/>
              </w:rPr>
            </w:pPr>
            <w:r w:rsidRPr="006A1E0E">
              <w:rPr>
                <w:noProof/>
                <w:sz w:val="16"/>
                <w:szCs w:val="16"/>
                <w:lang w:eastAsia="hr-HR"/>
              </w:rPr>
              <w:drawing>
                <wp:inline distT="0" distB="0" distL="0" distR="0" wp14:anchorId="3ED70A70" wp14:editId="5AB84054">
                  <wp:extent cx="4476998" cy="2660015"/>
                  <wp:effectExtent l="0" t="0" r="0" b="698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0BFC" w:rsidRPr="00D70BFC" w:rsidRDefault="00D70BFC" w:rsidP="00D70BFC">
            <w:pPr>
              <w:spacing w:after="0" w:line="240" w:lineRule="auto"/>
              <w:jc w:val="center"/>
              <w:rPr>
                <w:rFonts w:ascii="Times New Roman" w:eastAsia="Times New Roman" w:hAnsi="Times New Roman" w:cs="Times New Roman"/>
                <w:iCs/>
                <w:color w:val="000000"/>
                <w:sz w:val="20"/>
                <w:szCs w:val="20"/>
                <w:lang w:eastAsia="hr-HR"/>
              </w:rPr>
            </w:pPr>
            <w:r w:rsidRPr="00D70BFC">
              <w:rPr>
                <w:rFonts w:ascii="Times New Roman" w:eastAsia="Times New Roman" w:hAnsi="Times New Roman" w:cs="Times New Roman"/>
                <w:iCs/>
                <w:color w:val="000000"/>
                <w:sz w:val="20"/>
                <w:szCs w:val="20"/>
                <w:lang w:eastAsia="hr-HR"/>
              </w:rPr>
              <w:t>Izvor: podaci Ministarstva zdravstva i Hrvatskog zavoda za zdravstveno osiguranje</w:t>
            </w: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B63C51" w:rsidRDefault="00BF1AE9" w:rsidP="00D70BFC">
            <w:pPr>
              <w:spacing w:after="0"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Važećim </w:t>
            </w:r>
            <w:r w:rsidRPr="004F4DA1">
              <w:rPr>
                <w:rFonts w:ascii="Times New Roman" w:eastAsia="Times New Roman" w:hAnsi="Times New Roman" w:cs="Times New Roman"/>
                <w:iCs/>
                <w:color w:val="000000"/>
                <w:sz w:val="24"/>
                <w:szCs w:val="24"/>
                <w:lang w:eastAsia="hr-HR"/>
              </w:rPr>
              <w:t>Zakonom nije u potpunosti uređen način osposobljavanja zdravstvenih radnika. Regulirane profesije su profesije čiji je standard obrazovanja i način obavljanja djelatnosti propisan zakonom. Zakonski prijedlog treba urediti način osposobljavanja zdravs</w:t>
            </w:r>
            <w:r w:rsidR="00B63C51">
              <w:rPr>
                <w:rFonts w:ascii="Times New Roman" w:eastAsia="Times New Roman" w:hAnsi="Times New Roman" w:cs="Times New Roman"/>
                <w:iCs/>
                <w:color w:val="000000"/>
                <w:sz w:val="24"/>
                <w:szCs w:val="24"/>
                <w:lang w:eastAsia="hr-HR"/>
              </w:rPr>
              <w:t xml:space="preserve">tvenih radnika, a </w:t>
            </w:r>
            <w:r w:rsidRPr="004F4DA1">
              <w:rPr>
                <w:rFonts w:ascii="Times New Roman" w:eastAsia="Times New Roman" w:hAnsi="Times New Roman" w:cs="Times New Roman"/>
                <w:iCs/>
                <w:color w:val="000000"/>
                <w:sz w:val="24"/>
                <w:szCs w:val="24"/>
                <w:lang w:eastAsia="hr-HR"/>
              </w:rPr>
              <w:t xml:space="preserve">da se teorijskom i praktičnom nastavom </w:t>
            </w:r>
            <w:r w:rsidR="00B63C51">
              <w:rPr>
                <w:rFonts w:ascii="Times New Roman" w:eastAsia="Times New Roman" w:hAnsi="Times New Roman" w:cs="Times New Roman"/>
                <w:iCs/>
                <w:color w:val="000000"/>
                <w:sz w:val="24"/>
                <w:szCs w:val="24"/>
                <w:lang w:eastAsia="hr-HR"/>
              </w:rPr>
              <w:t>mogu postići ishodi učenja i steći</w:t>
            </w:r>
            <w:r w:rsidRPr="004F4DA1">
              <w:rPr>
                <w:rFonts w:ascii="Times New Roman" w:eastAsia="Times New Roman" w:hAnsi="Times New Roman" w:cs="Times New Roman"/>
                <w:iCs/>
                <w:color w:val="000000"/>
                <w:sz w:val="24"/>
                <w:szCs w:val="24"/>
                <w:lang w:eastAsia="hr-HR"/>
              </w:rPr>
              <w:t xml:space="preserve"> kompetencije. Nadalje, potrebno je urediti način obrazovanja i obavljanja djelatnosti zdravstvenih suradnika</w:t>
            </w:r>
            <w:r w:rsidR="00CE13A1">
              <w:rPr>
                <w:rFonts w:ascii="Times New Roman" w:eastAsia="Times New Roman" w:hAnsi="Times New Roman" w:cs="Times New Roman"/>
                <w:iCs/>
                <w:color w:val="000000"/>
                <w:sz w:val="24"/>
                <w:szCs w:val="24"/>
                <w:lang w:eastAsia="hr-HR"/>
              </w:rPr>
              <w:t xml:space="preserve"> sa stvarnim potrebama</w:t>
            </w:r>
            <w:r w:rsidRPr="004F4DA1">
              <w:rPr>
                <w:rFonts w:ascii="Times New Roman" w:eastAsia="Times New Roman" w:hAnsi="Times New Roman" w:cs="Times New Roman"/>
                <w:iCs/>
                <w:color w:val="000000"/>
                <w:sz w:val="24"/>
                <w:szCs w:val="24"/>
                <w:lang w:eastAsia="hr-HR"/>
              </w:rPr>
              <w:t xml:space="preserve">.   </w:t>
            </w:r>
          </w:p>
          <w:p w:rsidR="00BF1AE9" w:rsidRDefault="00BF1AE9" w:rsidP="00BF1AE9">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Važećim </w:t>
            </w:r>
            <w:r w:rsidRPr="004F4DA1">
              <w:rPr>
                <w:rFonts w:ascii="Times New Roman" w:eastAsia="Times New Roman" w:hAnsi="Times New Roman" w:cs="Times New Roman"/>
                <w:iCs/>
                <w:color w:val="000000"/>
                <w:sz w:val="24"/>
                <w:szCs w:val="24"/>
                <w:lang w:eastAsia="hr-HR"/>
              </w:rPr>
              <w:t xml:space="preserve">Zakonom </w:t>
            </w:r>
            <w:r w:rsidR="00B63C51">
              <w:rPr>
                <w:rFonts w:ascii="Times New Roman" w:eastAsia="Times New Roman" w:hAnsi="Times New Roman" w:cs="Times New Roman"/>
                <w:iCs/>
                <w:color w:val="000000"/>
                <w:sz w:val="24"/>
                <w:szCs w:val="24"/>
                <w:lang w:eastAsia="hr-HR"/>
              </w:rPr>
              <w:t xml:space="preserve">također je nedovoljno </w:t>
            </w:r>
            <w:r w:rsidRPr="004F4DA1">
              <w:rPr>
                <w:rFonts w:ascii="Times New Roman" w:eastAsia="Times New Roman" w:hAnsi="Times New Roman" w:cs="Times New Roman"/>
                <w:iCs/>
                <w:color w:val="000000"/>
                <w:sz w:val="24"/>
                <w:szCs w:val="24"/>
                <w:lang w:eastAsia="hr-HR"/>
              </w:rPr>
              <w:t>uređeno područje provođenja nastave u zdravstvenoj ustanovi. Zakonskim prijedlogom potrebno je urediti kriterije za provođenje nastave u zdravstvenoj ustanov</w:t>
            </w:r>
            <w:r w:rsidR="00B63C51">
              <w:rPr>
                <w:rFonts w:ascii="Times New Roman" w:eastAsia="Times New Roman" w:hAnsi="Times New Roman" w:cs="Times New Roman"/>
                <w:iCs/>
                <w:color w:val="000000"/>
                <w:sz w:val="24"/>
                <w:szCs w:val="24"/>
                <w:lang w:eastAsia="hr-HR"/>
              </w:rPr>
              <w:t>i na prijedlog visokog učilišta.</w:t>
            </w:r>
          </w:p>
          <w:p w:rsidR="0052328E" w:rsidRPr="00A55BE8" w:rsidRDefault="002654A0" w:rsidP="00BF1AE9">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S obzirom na nedovoljno definirana rješenja koja se odnose na mogućnost stimuliranja radnika u zdravstvu koji ostvaruju natprosječne rezultate rada, potrebno je zakonskim prijedlogom urediti navedeno područje.</w:t>
            </w:r>
          </w:p>
          <w:p w:rsidR="0052096A" w:rsidRPr="00A55BE8" w:rsidRDefault="003C24D1" w:rsidP="00BF1AE9">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 xml:space="preserve">Važećim Zakonom o zdravstvenoj zaštiti nedovoljno je uređeno područje vođenja, čuvanja, prikupljanja i raspolaganja medicinskom dokumentacijom i ostalim podacima, osobito u smislu zaštite osobnih podataka pacijenata. Stoga je zakonskim prijedlogom potrebno odrediti okvir za utvrđivanje </w:t>
            </w:r>
            <w:r w:rsidR="0052096A" w:rsidRPr="00A55BE8">
              <w:rPr>
                <w:rFonts w:ascii="Times New Roman" w:eastAsia="Times New Roman" w:hAnsi="Times New Roman" w:cs="Times New Roman"/>
                <w:iCs/>
                <w:color w:val="000000"/>
                <w:sz w:val="24"/>
                <w:szCs w:val="24"/>
                <w:lang w:eastAsia="hr-HR"/>
              </w:rPr>
              <w:t>prava, obvez</w:t>
            </w:r>
            <w:r w:rsidRPr="00A55BE8">
              <w:rPr>
                <w:rFonts w:ascii="Times New Roman" w:eastAsia="Times New Roman" w:hAnsi="Times New Roman" w:cs="Times New Roman"/>
                <w:iCs/>
                <w:color w:val="000000"/>
                <w:sz w:val="24"/>
                <w:szCs w:val="24"/>
                <w:lang w:eastAsia="hr-HR"/>
              </w:rPr>
              <w:t>a</w:t>
            </w:r>
            <w:r w:rsidR="0052096A" w:rsidRPr="00A55BE8">
              <w:rPr>
                <w:rFonts w:ascii="Times New Roman" w:eastAsia="Times New Roman" w:hAnsi="Times New Roman" w:cs="Times New Roman"/>
                <w:iCs/>
                <w:color w:val="000000"/>
                <w:sz w:val="24"/>
                <w:szCs w:val="24"/>
                <w:lang w:eastAsia="hr-HR"/>
              </w:rPr>
              <w:t xml:space="preserve"> i odgovornosti </w:t>
            </w:r>
            <w:r w:rsidR="00CB2952" w:rsidRPr="00A55BE8">
              <w:rPr>
                <w:rFonts w:ascii="Times New Roman" w:eastAsia="Times New Roman" w:hAnsi="Times New Roman" w:cs="Times New Roman"/>
                <w:iCs/>
                <w:color w:val="000000"/>
                <w:sz w:val="24"/>
                <w:szCs w:val="24"/>
                <w:lang w:eastAsia="hr-HR"/>
              </w:rPr>
              <w:t>svih osoba u</w:t>
            </w:r>
            <w:r w:rsidR="0052096A" w:rsidRPr="00A55BE8">
              <w:rPr>
                <w:rFonts w:ascii="Times New Roman" w:eastAsia="Times New Roman" w:hAnsi="Times New Roman" w:cs="Times New Roman"/>
                <w:iCs/>
                <w:color w:val="000000"/>
                <w:sz w:val="24"/>
                <w:szCs w:val="24"/>
                <w:lang w:eastAsia="hr-HR"/>
              </w:rPr>
              <w:t xml:space="preserve"> zdravstveno</w:t>
            </w:r>
            <w:r w:rsidR="00CB2952" w:rsidRPr="00A55BE8">
              <w:rPr>
                <w:rFonts w:ascii="Times New Roman" w:eastAsia="Times New Roman" w:hAnsi="Times New Roman" w:cs="Times New Roman"/>
                <w:iCs/>
                <w:color w:val="000000"/>
                <w:sz w:val="24"/>
                <w:szCs w:val="24"/>
                <w:lang w:eastAsia="hr-HR"/>
              </w:rPr>
              <w:t>m</w:t>
            </w:r>
            <w:r w:rsidR="0052096A" w:rsidRPr="00A55BE8">
              <w:rPr>
                <w:rFonts w:ascii="Times New Roman" w:eastAsia="Times New Roman" w:hAnsi="Times New Roman" w:cs="Times New Roman"/>
                <w:iCs/>
                <w:color w:val="000000"/>
                <w:sz w:val="24"/>
                <w:szCs w:val="24"/>
                <w:lang w:eastAsia="hr-HR"/>
              </w:rPr>
              <w:t xml:space="preserve"> sustav</w:t>
            </w:r>
            <w:r w:rsidR="00CB2952" w:rsidRPr="00A55BE8">
              <w:rPr>
                <w:rFonts w:ascii="Times New Roman" w:eastAsia="Times New Roman" w:hAnsi="Times New Roman" w:cs="Times New Roman"/>
                <w:iCs/>
                <w:color w:val="000000"/>
                <w:sz w:val="24"/>
                <w:szCs w:val="24"/>
                <w:lang w:eastAsia="hr-HR"/>
              </w:rPr>
              <w:t>u,</w:t>
            </w:r>
            <w:r w:rsidR="0052096A" w:rsidRPr="00A55BE8">
              <w:rPr>
                <w:rFonts w:ascii="Times New Roman" w:eastAsia="Times New Roman" w:hAnsi="Times New Roman" w:cs="Times New Roman"/>
                <w:iCs/>
                <w:color w:val="000000"/>
                <w:sz w:val="24"/>
                <w:szCs w:val="24"/>
                <w:lang w:eastAsia="hr-HR"/>
              </w:rPr>
              <w:t xml:space="preserve"> </w:t>
            </w:r>
            <w:r w:rsidR="00CB2952" w:rsidRPr="00A55BE8">
              <w:rPr>
                <w:rFonts w:ascii="Times New Roman" w:eastAsia="Times New Roman" w:hAnsi="Times New Roman" w:cs="Times New Roman"/>
                <w:iCs/>
                <w:color w:val="000000"/>
                <w:sz w:val="24"/>
                <w:szCs w:val="24"/>
                <w:lang w:eastAsia="hr-HR"/>
              </w:rPr>
              <w:t xml:space="preserve">koja se odnose na </w:t>
            </w:r>
            <w:r w:rsidR="0052096A" w:rsidRPr="00A55BE8">
              <w:rPr>
                <w:rFonts w:ascii="Times New Roman" w:eastAsia="Times New Roman" w:hAnsi="Times New Roman" w:cs="Times New Roman"/>
                <w:iCs/>
                <w:color w:val="000000"/>
                <w:sz w:val="24"/>
                <w:szCs w:val="24"/>
                <w:lang w:eastAsia="hr-HR"/>
              </w:rPr>
              <w:t>područj</w:t>
            </w:r>
            <w:r w:rsidR="00CB2952" w:rsidRPr="00A55BE8">
              <w:rPr>
                <w:rFonts w:ascii="Times New Roman" w:eastAsia="Times New Roman" w:hAnsi="Times New Roman" w:cs="Times New Roman"/>
                <w:iCs/>
                <w:color w:val="000000"/>
                <w:sz w:val="24"/>
                <w:szCs w:val="24"/>
                <w:lang w:eastAsia="hr-HR"/>
              </w:rPr>
              <w:t>e</w:t>
            </w:r>
            <w:r w:rsidR="0052096A" w:rsidRPr="00A55BE8">
              <w:rPr>
                <w:rFonts w:ascii="Times New Roman" w:eastAsia="Times New Roman" w:hAnsi="Times New Roman" w:cs="Times New Roman"/>
                <w:iCs/>
                <w:color w:val="000000"/>
                <w:sz w:val="24"/>
                <w:szCs w:val="24"/>
                <w:lang w:eastAsia="hr-HR"/>
              </w:rPr>
              <w:t xml:space="preserve"> upravljanja podacima i informacijama u zdravstvu, </w:t>
            </w:r>
            <w:r w:rsidR="00CB2952" w:rsidRPr="00A55BE8">
              <w:rPr>
                <w:rFonts w:ascii="Times New Roman" w:eastAsia="Times New Roman" w:hAnsi="Times New Roman" w:cs="Times New Roman"/>
                <w:iCs/>
                <w:color w:val="000000"/>
                <w:sz w:val="24"/>
                <w:szCs w:val="24"/>
                <w:lang w:eastAsia="hr-HR"/>
              </w:rPr>
              <w:t>prikupljanje, preuzimanje</w:t>
            </w:r>
            <w:r w:rsidR="0052096A" w:rsidRPr="00A55BE8">
              <w:rPr>
                <w:rFonts w:ascii="Times New Roman" w:eastAsia="Times New Roman" w:hAnsi="Times New Roman" w:cs="Times New Roman"/>
                <w:iCs/>
                <w:color w:val="000000"/>
                <w:sz w:val="24"/>
                <w:szCs w:val="24"/>
                <w:lang w:eastAsia="hr-HR"/>
              </w:rPr>
              <w:t xml:space="preserve"> i korištenj</w:t>
            </w:r>
            <w:r w:rsidR="00CB2952" w:rsidRPr="00A55BE8">
              <w:rPr>
                <w:rFonts w:ascii="Times New Roman" w:eastAsia="Times New Roman" w:hAnsi="Times New Roman" w:cs="Times New Roman"/>
                <w:iCs/>
                <w:color w:val="000000"/>
                <w:sz w:val="24"/>
                <w:szCs w:val="24"/>
                <w:lang w:eastAsia="hr-HR"/>
              </w:rPr>
              <w:t>e</w:t>
            </w:r>
            <w:r w:rsidR="0052096A" w:rsidRPr="00A55BE8">
              <w:rPr>
                <w:rFonts w:ascii="Times New Roman" w:eastAsia="Times New Roman" w:hAnsi="Times New Roman" w:cs="Times New Roman"/>
                <w:iCs/>
                <w:color w:val="000000"/>
                <w:sz w:val="24"/>
                <w:szCs w:val="24"/>
                <w:lang w:eastAsia="hr-HR"/>
              </w:rPr>
              <w:t xml:space="preserve"> podataka, vođenje zbirki podataka i medicinske dokumentacije, uspostav</w:t>
            </w:r>
            <w:r w:rsidR="00CB2952" w:rsidRPr="00A55BE8">
              <w:rPr>
                <w:rFonts w:ascii="Times New Roman" w:eastAsia="Times New Roman" w:hAnsi="Times New Roman" w:cs="Times New Roman"/>
                <w:iCs/>
                <w:color w:val="000000"/>
                <w:sz w:val="24"/>
                <w:szCs w:val="24"/>
                <w:lang w:eastAsia="hr-HR"/>
              </w:rPr>
              <w:t>u</w:t>
            </w:r>
            <w:r w:rsidR="0052096A" w:rsidRPr="00A55BE8">
              <w:rPr>
                <w:rFonts w:ascii="Times New Roman" w:eastAsia="Times New Roman" w:hAnsi="Times New Roman" w:cs="Times New Roman"/>
                <w:iCs/>
                <w:color w:val="000000"/>
                <w:sz w:val="24"/>
                <w:szCs w:val="24"/>
                <w:lang w:eastAsia="hr-HR"/>
              </w:rPr>
              <w:t xml:space="preserve"> elektroničke razmjene zdravstvenih podataka te osiguravanje međunarodne usporedivosti i pouzdanosti zdr</w:t>
            </w:r>
            <w:r w:rsidR="00CB2952" w:rsidRPr="00A55BE8">
              <w:rPr>
                <w:rFonts w:ascii="Times New Roman" w:eastAsia="Times New Roman" w:hAnsi="Times New Roman" w:cs="Times New Roman"/>
                <w:iCs/>
                <w:color w:val="000000"/>
                <w:sz w:val="24"/>
                <w:szCs w:val="24"/>
                <w:lang w:eastAsia="hr-HR"/>
              </w:rPr>
              <w:t>avstvenih podataka</w:t>
            </w:r>
            <w:r w:rsidR="0052096A" w:rsidRPr="00A55BE8">
              <w:rPr>
                <w:rFonts w:ascii="Times New Roman" w:eastAsia="Times New Roman" w:hAnsi="Times New Roman" w:cs="Times New Roman"/>
                <w:iCs/>
                <w:color w:val="000000"/>
                <w:sz w:val="24"/>
                <w:szCs w:val="24"/>
                <w:lang w:eastAsia="hr-HR"/>
              </w:rPr>
              <w:t>.</w:t>
            </w:r>
          </w:p>
          <w:p w:rsidR="00D70BFC" w:rsidRDefault="00D70BFC" w:rsidP="00BF1AE9">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D70BFC" w:rsidRPr="0052328E" w:rsidRDefault="00D70BFC" w:rsidP="00BF1AE9">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D03A6E" w:rsidRPr="00D03A6E" w:rsidRDefault="00AA4ECA" w:rsidP="00D03A6E">
            <w:pPr>
              <w:spacing w:before="100" w:beforeAutospacing="1" w:after="100" w:afterAutospacing="1" w:line="240" w:lineRule="auto"/>
              <w:jc w:val="both"/>
              <w:rPr>
                <w:b/>
              </w:rPr>
            </w:pPr>
            <w:r>
              <w:rPr>
                <w:rFonts w:ascii="Times New Roman" w:eastAsia="Times New Roman" w:hAnsi="Times New Roman" w:cs="Times New Roman"/>
                <w:b/>
                <w:iCs/>
                <w:color w:val="000000"/>
                <w:sz w:val="24"/>
                <w:szCs w:val="24"/>
                <w:lang w:eastAsia="hr-HR"/>
              </w:rPr>
              <w:t>1.4</w:t>
            </w:r>
            <w:r w:rsidR="00D03A6E" w:rsidRPr="00D03A6E">
              <w:rPr>
                <w:rFonts w:ascii="Times New Roman" w:eastAsia="Times New Roman" w:hAnsi="Times New Roman" w:cs="Times New Roman"/>
                <w:b/>
                <w:iCs/>
                <w:color w:val="000000"/>
                <w:sz w:val="24"/>
                <w:szCs w:val="24"/>
                <w:lang w:eastAsia="hr-HR"/>
              </w:rPr>
              <w:t xml:space="preserve">. Zdravstveni turizam </w:t>
            </w:r>
            <w:r w:rsidR="00D03A6E" w:rsidRPr="00D03A6E">
              <w:rPr>
                <w:b/>
              </w:rPr>
              <w:t xml:space="preserve"> </w:t>
            </w:r>
          </w:p>
          <w:p w:rsidR="00D03A6E" w:rsidRPr="00D03A6E" w:rsidRDefault="001C6D9E" w:rsidP="00D03A6E">
            <w:pPr>
              <w:spacing w:before="100" w:beforeAutospacing="1" w:after="100" w:afterAutospacing="1" w:line="240" w:lineRule="auto"/>
              <w:jc w:val="both"/>
            </w:pPr>
            <w:r>
              <w:rPr>
                <w:rFonts w:ascii="Times New Roman" w:eastAsia="Times New Roman" w:hAnsi="Times New Roman" w:cs="Times New Roman"/>
                <w:iCs/>
                <w:color w:val="000000"/>
                <w:sz w:val="24"/>
                <w:szCs w:val="24"/>
                <w:lang w:eastAsia="hr-HR"/>
              </w:rPr>
              <w:lastRenderedPageBreak/>
              <w:t xml:space="preserve">Zdravstveni turizam </w:t>
            </w:r>
            <w:r w:rsidR="009905AB">
              <w:rPr>
                <w:rFonts w:ascii="Times New Roman" w:eastAsia="Times New Roman" w:hAnsi="Times New Roman" w:cs="Times New Roman"/>
                <w:iCs/>
                <w:color w:val="000000"/>
                <w:sz w:val="24"/>
                <w:szCs w:val="24"/>
                <w:lang w:eastAsia="hr-HR"/>
              </w:rPr>
              <w:t>jasno definiran u S</w:t>
            </w:r>
            <w:r w:rsidR="00D03A6E" w:rsidRPr="00D03A6E">
              <w:rPr>
                <w:rFonts w:ascii="Times New Roman" w:eastAsia="Times New Roman" w:hAnsi="Times New Roman" w:cs="Times New Roman"/>
                <w:iCs/>
                <w:color w:val="000000"/>
                <w:sz w:val="24"/>
                <w:szCs w:val="24"/>
                <w:lang w:eastAsia="hr-HR"/>
              </w:rPr>
              <w:t xml:space="preserve">trategiji zdravstva, nije implementiran u </w:t>
            </w:r>
            <w:r>
              <w:rPr>
                <w:rFonts w:ascii="Times New Roman" w:eastAsia="Times New Roman" w:hAnsi="Times New Roman" w:cs="Times New Roman"/>
                <w:iCs/>
                <w:color w:val="000000"/>
                <w:sz w:val="24"/>
                <w:szCs w:val="24"/>
                <w:lang w:eastAsia="hr-HR"/>
              </w:rPr>
              <w:t xml:space="preserve">odgovarajući </w:t>
            </w:r>
            <w:r w:rsidR="00D03A6E" w:rsidRPr="00D03A6E">
              <w:rPr>
                <w:rFonts w:ascii="Times New Roman" w:eastAsia="Times New Roman" w:hAnsi="Times New Roman" w:cs="Times New Roman"/>
                <w:iCs/>
                <w:color w:val="000000"/>
                <w:sz w:val="24"/>
                <w:szCs w:val="24"/>
                <w:lang w:eastAsia="hr-HR"/>
              </w:rPr>
              <w:t>zakon</w:t>
            </w:r>
            <w:r>
              <w:rPr>
                <w:rFonts w:ascii="Times New Roman" w:eastAsia="Times New Roman" w:hAnsi="Times New Roman" w:cs="Times New Roman"/>
                <w:iCs/>
                <w:color w:val="000000"/>
                <w:sz w:val="24"/>
                <w:szCs w:val="24"/>
                <w:lang w:eastAsia="hr-HR"/>
              </w:rPr>
              <w:t xml:space="preserve">ski propis </w:t>
            </w:r>
            <w:r w:rsidR="00D03A6E" w:rsidRPr="00D03A6E">
              <w:rPr>
                <w:rFonts w:ascii="Times New Roman" w:eastAsia="Times New Roman" w:hAnsi="Times New Roman" w:cs="Times New Roman"/>
                <w:iCs/>
                <w:color w:val="000000"/>
                <w:sz w:val="24"/>
                <w:szCs w:val="24"/>
                <w:lang w:eastAsia="hr-HR"/>
              </w:rPr>
              <w:t xml:space="preserve">čime bi bio stvoren pravni okvir za postupanje u praksi. </w:t>
            </w:r>
          </w:p>
          <w:p w:rsidR="00A7421A" w:rsidRPr="00A7421A" w:rsidRDefault="00D03A6E" w:rsidP="00A7421A">
            <w:pPr>
              <w:spacing w:line="240" w:lineRule="auto"/>
              <w:jc w:val="both"/>
              <w:rPr>
                <w:rFonts w:ascii="Times New Roman" w:eastAsia="Times New Roman" w:hAnsi="Times New Roman" w:cs="Times New Roman"/>
                <w:sz w:val="24"/>
                <w:szCs w:val="24"/>
                <w:lang w:eastAsia="en-GB"/>
              </w:rPr>
            </w:pPr>
            <w:r w:rsidRPr="00D03A6E">
              <w:rPr>
                <w:rFonts w:ascii="Times New Roman" w:eastAsia="Times New Roman" w:hAnsi="Times New Roman" w:cs="Times New Roman"/>
                <w:iCs/>
                <w:color w:val="000000"/>
                <w:sz w:val="24"/>
                <w:szCs w:val="24"/>
                <w:lang w:eastAsia="hr-HR"/>
              </w:rPr>
              <w:t>Sadržaji brojnih potencijalnih zdravstvenih kapaciteta ne mogu se bez jasno</w:t>
            </w:r>
            <w:r w:rsidR="004F0754">
              <w:rPr>
                <w:rFonts w:ascii="Times New Roman" w:eastAsia="Times New Roman" w:hAnsi="Times New Roman" w:cs="Times New Roman"/>
                <w:iCs/>
                <w:color w:val="000000"/>
                <w:sz w:val="24"/>
                <w:szCs w:val="24"/>
                <w:lang w:eastAsia="hr-HR"/>
              </w:rPr>
              <w:t xml:space="preserve">g zakonskog okvira konzumirati </w:t>
            </w:r>
            <w:r w:rsidRPr="00D03A6E">
              <w:rPr>
                <w:rFonts w:ascii="Times New Roman" w:eastAsia="Times New Roman" w:hAnsi="Times New Roman" w:cs="Times New Roman"/>
                <w:iCs/>
                <w:color w:val="000000"/>
                <w:sz w:val="24"/>
                <w:szCs w:val="24"/>
                <w:lang w:eastAsia="hr-HR"/>
              </w:rPr>
              <w:t xml:space="preserve">kao turistički sadržaji i tu zdravstvu izmiču očekivana sredstva. </w:t>
            </w:r>
            <w:r w:rsidR="00A7421A">
              <w:rPr>
                <w:rFonts w:ascii="Times New Roman" w:eastAsia="Times New Roman" w:hAnsi="Times New Roman" w:cs="Times New Roman"/>
                <w:iCs/>
                <w:color w:val="000000"/>
                <w:sz w:val="24"/>
                <w:szCs w:val="24"/>
                <w:lang w:eastAsia="hr-HR"/>
              </w:rPr>
              <w:t xml:space="preserve">Pri tome je potrebno Zakonom precizirati odnos između zdravstvenog turizma </w:t>
            </w:r>
            <w:r w:rsidR="00A7421A">
              <w:rPr>
                <w:rFonts w:ascii="Times New Roman" w:eastAsia="Times New Roman" w:hAnsi="Times New Roman" w:cs="Times New Roman"/>
                <w:sz w:val="24"/>
                <w:szCs w:val="24"/>
                <w:lang w:eastAsia="en-GB"/>
              </w:rPr>
              <w:t>(wellness, spa) i</w:t>
            </w:r>
            <w:r w:rsidR="00A7421A" w:rsidRPr="00A7421A">
              <w:rPr>
                <w:rFonts w:ascii="Times New Roman" w:eastAsia="Times New Roman" w:hAnsi="Times New Roman" w:cs="Times New Roman"/>
                <w:sz w:val="24"/>
                <w:szCs w:val="24"/>
                <w:lang w:eastAsia="en-GB"/>
              </w:rPr>
              <w:t xml:space="preserve"> prekograničn</w:t>
            </w:r>
            <w:r w:rsidR="00A7421A">
              <w:rPr>
                <w:rFonts w:ascii="Times New Roman" w:eastAsia="Times New Roman" w:hAnsi="Times New Roman" w:cs="Times New Roman"/>
                <w:sz w:val="24"/>
                <w:szCs w:val="24"/>
                <w:lang w:eastAsia="en-GB"/>
              </w:rPr>
              <w:t>ih</w:t>
            </w:r>
            <w:r w:rsidR="00A7421A" w:rsidRPr="00A7421A">
              <w:rPr>
                <w:rFonts w:ascii="Times New Roman" w:eastAsia="Times New Roman" w:hAnsi="Times New Roman" w:cs="Times New Roman"/>
                <w:sz w:val="24"/>
                <w:szCs w:val="24"/>
                <w:lang w:eastAsia="en-GB"/>
              </w:rPr>
              <w:t xml:space="preserve"> zdravstven</w:t>
            </w:r>
            <w:r w:rsidR="00A7421A">
              <w:rPr>
                <w:rFonts w:ascii="Times New Roman" w:eastAsia="Times New Roman" w:hAnsi="Times New Roman" w:cs="Times New Roman"/>
                <w:sz w:val="24"/>
                <w:szCs w:val="24"/>
                <w:lang w:eastAsia="en-GB"/>
              </w:rPr>
              <w:t>ih</w:t>
            </w:r>
            <w:r w:rsidR="00A7421A" w:rsidRPr="00A7421A">
              <w:rPr>
                <w:rFonts w:ascii="Times New Roman" w:eastAsia="Times New Roman" w:hAnsi="Times New Roman" w:cs="Times New Roman"/>
                <w:sz w:val="24"/>
                <w:szCs w:val="24"/>
                <w:lang w:eastAsia="en-GB"/>
              </w:rPr>
              <w:t xml:space="preserve"> uslug</w:t>
            </w:r>
            <w:r w:rsidR="00A7421A">
              <w:rPr>
                <w:rFonts w:ascii="Times New Roman" w:eastAsia="Times New Roman" w:hAnsi="Times New Roman" w:cs="Times New Roman"/>
                <w:sz w:val="24"/>
                <w:szCs w:val="24"/>
                <w:lang w:eastAsia="en-GB"/>
              </w:rPr>
              <w:t>a</w:t>
            </w:r>
            <w:r w:rsidR="00A7421A" w:rsidRPr="00A7421A">
              <w:rPr>
                <w:rFonts w:ascii="Times New Roman" w:eastAsia="Times New Roman" w:hAnsi="Times New Roman" w:cs="Times New Roman"/>
                <w:sz w:val="24"/>
                <w:szCs w:val="24"/>
                <w:lang w:eastAsia="en-GB"/>
              </w:rPr>
              <w:t xml:space="preserve"> koje mogu pružati i ustanove iz javnog </w:t>
            </w:r>
            <w:r w:rsidR="00A7421A">
              <w:rPr>
                <w:rFonts w:ascii="Times New Roman" w:eastAsia="Times New Roman" w:hAnsi="Times New Roman" w:cs="Times New Roman"/>
                <w:sz w:val="24"/>
                <w:szCs w:val="24"/>
                <w:lang w:eastAsia="en-GB"/>
              </w:rPr>
              <w:t>zdravstva</w:t>
            </w:r>
            <w:r w:rsidR="00A7421A" w:rsidRPr="00A7421A">
              <w:rPr>
                <w:rFonts w:ascii="Times New Roman" w:eastAsia="Times New Roman" w:hAnsi="Times New Roman" w:cs="Times New Roman"/>
                <w:sz w:val="24"/>
                <w:szCs w:val="24"/>
                <w:lang w:eastAsia="en-GB"/>
              </w:rPr>
              <w:t xml:space="preserve"> izvan ugovorenih kapaciteta obveznog zdravstvenog </w:t>
            </w:r>
            <w:r w:rsidR="00A7421A">
              <w:rPr>
                <w:rFonts w:ascii="Times New Roman" w:eastAsia="Times New Roman" w:hAnsi="Times New Roman" w:cs="Times New Roman"/>
                <w:sz w:val="24"/>
                <w:szCs w:val="24"/>
                <w:lang w:eastAsia="en-GB"/>
              </w:rPr>
              <w:t>osiguranja</w:t>
            </w:r>
            <w:r w:rsidR="00A7421A" w:rsidRPr="00A7421A">
              <w:rPr>
                <w:rFonts w:ascii="Times New Roman" w:eastAsia="Times New Roman" w:hAnsi="Times New Roman" w:cs="Times New Roman"/>
                <w:sz w:val="24"/>
                <w:szCs w:val="24"/>
                <w:lang w:eastAsia="en-GB"/>
              </w:rPr>
              <w:t>.</w:t>
            </w:r>
          </w:p>
          <w:p w:rsidR="00D03A6E" w:rsidRPr="00D03A6E" w:rsidRDefault="00D03A6E" w:rsidP="00D03A6E">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D03A6E">
              <w:rPr>
                <w:rFonts w:ascii="Times New Roman" w:eastAsia="Times New Roman" w:hAnsi="Times New Roman" w:cs="Times New Roman"/>
                <w:iCs/>
                <w:color w:val="000000"/>
                <w:sz w:val="24"/>
                <w:szCs w:val="24"/>
                <w:lang w:eastAsia="hr-HR"/>
              </w:rPr>
              <w:t>Bez jasnog zakonskog okvira nije moguće aplicirati na EU fondove</w:t>
            </w:r>
            <w:r w:rsidR="00A7421A">
              <w:rPr>
                <w:rFonts w:ascii="Times New Roman" w:eastAsia="Times New Roman" w:hAnsi="Times New Roman" w:cs="Times New Roman"/>
                <w:iCs/>
                <w:color w:val="000000"/>
                <w:sz w:val="24"/>
                <w:szCs w:val="24"/>
                <w:lang w:eastAsia="hr-HR"/>
              </w:rPr>
              <w:t>.</w:t>
            </w:r>
            <w:r w:rsidRPr="00D03A6E">
              <w:rPr>
                <w:rFonts w:ascii="Times New Roman" w:eastAsia="Times New Roman" w:hAnsi="Times New Roman" w:cs="Times New Roman"/>
                <w:iCs/>
                <w:color w:val="000000"/>
                <w:sz w:val="24"/>
                <w:szCs w:val="24"/>
                <w:lang w:eastAsia="hr-HR"/>
              </w:rPr>
              <w:t xml:space="preserve">  </w:t>
            </w:r>
          </w:p>
          <w:p w:rsidR="00D03A6E" w:rsidRDefault="00D03A6E"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D03A6E">
              <w:rPr>
                <w:rFonts w:ascii="Times New Roman" w:eastAsia="Times New Roman" w:hAnsi="Times New Roman" w:cs="Times New Roman"/>
                <w:iCs/>
                <w:color w:val="000000"/>
                <w:sz w:val="24"/>
                <w:szCs w:val="24"/>
                <w:lang w:eastAsia="hr-HR"/>
              </w:rPr>
              <w:t>Time su najviše pogođena lječilišta i specijalne bolnice u R</w:t>
            </w:r>
            <w:r w:rsidR="00857185">
              <w:rPr>
                <w:rFonts w:ascii="Times New Roman" w:eastAsia="Times New Roman" w:hAnsi="Times New Roman" w:cs="Times New Roman"/>
                <w:iCs/>
                <w:color w:val="000000"/>
                <w:sz w:val="24"/>
                <w:szCs w:val="24"/>
                <w:lang w:eastAsia="hr-HR"/>
              </w:rPr>
              <w:t xml:space="preserve">epublici </w:t>
            </w:r>
            <w:r w:rsidRPr="00D03A6E">
              <w:rPr>
                <w:rFonts w:ascii="Times New Roman" w:eastAsia="Times New Roman" w:hAnsi="Times New Roman" w:cs="Times New Roman"/>
                <w:iCs/>
                <w:color w:val="000000"/>
                <w:sz w:val="24"/>
                <w:szCs w:val="24"/>
                <w:lang w:eastAsia="hr-HR"/>
              </w:rPr>
              <w:t>H</w:t>
            </w:r>
            <w:r w:rsidR="00857185">
              <w:rPr>
                <w:rFonts w:ascii="Times New Roman" w:eastAsia="Times New Roman" w:hAnsi="Times New Roman" w:cs="Times New Roman"/>
                <w:iCs/>
                <w:color w:val="000000"/>
                <w:sz w:val="24"/>
                <w:szCs w:val="24"/>
                <w:lang w:eastAsia="hr-HR"/>
              </w:rPr>
              <w:t>rvatskoj</w:t>
            </w:r>
            <w:r w:rsidRPr="00D03A6E">
              <w:rPr>
                <w:rFonts w:ascii="Times New Roman" w:eastAsia="Times New Roman" w:hAnsi="Times New Roman" w:cs="Times New Roman"/>
                <w:iCs/>
                <w:color w:val="000000"/>
                <w:sz w:val="24"/>
                <w:szCs w:val="24"/>
                <w:lang w:eastAsia="hr-HR"/>
              </w:rPr>
              <w:t xml:space="preserve"> koje zahvaljujući svom prirodnom smještaju koji im omogućuje korištenje prirodnih čimbenika u svrhu obogaćivanja njihove zdravstvene usluge to ne mogu postići bez adekvatne zakonske podloge.   </w:t>
            </w:r>
          </w:p>
          <w:p w:rsidR="00B63C51" w:rsidRDefault="00B63C51" w:rsidP="00565965">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B63C51">
              <w:rPr>
                <w:rFonts w:ascii="Times New Roman" w:eastAsia="Times New Roman" w:hAnsi="Times New Roman" w:cs="Times New Roman"/>
                <w:b/>
                <w:iCs/>
                <w:color w:val="000000"/>
                <w:sz w:val="24"/>
                <w:szCs w:val="24"/>
                <w:lang w:eastAsia="hr-HR"/>
              </w:rPr>
              <w:t>1.5. Redefiniranje djelatnosti pojedinih zdravstvenih zavoda</w:t>
            </w:r>
          </w:p>
          <w:p w:rsidR="00B63C51" w:rsidRDefault="00B63C51"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B63C51">
              <w:rPr>
                <w:rFonts w:ascii="Times New Roman" w:eastAsia="Times New Roman" w:hAnsi="Times New Roman" w:cs="Times New Roman"/>
                <w:iCs/>
                <w:color w:val="000000"/>
                <w:sz w:val="24"/>
                <w:szCs w:val="24"/>
                <w:lang w:eastAsia="hr-HR"/>
              </w:rPr>
              <w:t xml:space="preserve">Nacionalni </w:t>
            </w:r>
            <w:r>
              <w:rPr>
                <w:rFonts w:ascii="Times New Roman" w:eastAsia="Times New Roman" w:hAnsi="Times New Roman" w:cs="Times New Roman"/>
                <w:iCs/>
                <w:color w:val="000000"/>
                <w:sz w:val="24"/>
                <w:szCs w:val="24"/>
                <w:lang w:eastAsia="hr-HR"/>
              </w:rPr>
              <w:t xml:space="preserve">transplantacijski program zbog ostvarenih je rezultata, u javnosti i međunarodnoj stručnoj zajednici, prepoznat kao jedno od područja izvrsnosti našeg zdravstvenog sustava. Odraz je to stručnosti i izuzetnog angažmana naših zdravstvenih timova, ali i jedinstvenog modela upravljanja i učinkovitog usklađivanja rada svih zdravstvenih ustanova na nacionalnoj i međunarodnoj razini (suradnja s </w:t>
            </w:r>
            <w:proofErr w:type="spellStart"/>
            <w:r>
              <w:rPr>
                <w:rFonts w:ascii="Times New Roman" w:eastAsia="Times New Roman" w:hAnsi="Times New Roman" w:cs="Times New Roman"/>
                <w:iCs/>
                <w:color w:val="000000"/>
                <w:sz w:val="24"/>
                <w:szCs w:val="24"/>
                <w:lang w:eastAsia="hr-HR"/>
              </w:rPr>
              <w:t>Eurotransplantom</w:t>
            </w:r>
            <w:proofErr w:type="spellEnd"/>
            <w:r>
              <w:rPr>
                <w:rFonts w:ascii="Times New Roman" w:eastAsia="Times New Roman" w:hAnsi="Times New Roman" w:cs="Times New Roman"/>
                <w:iCs/>
                <w:color w:val="000000"/>
                <w:sz w:val="24"/>
                <w:szCs w:val="24"/>
                <w:lang w:eastAsia="hr-HR"/>
              </w:rPr>
              <w:t>).</w:t>
            </w:r>
          </w:p>
          <w:p w:rsidR="00B63C51" w:rsidRDefault="00B63C51"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Nacionalno koordinacijsko tijelo (Zavod za transplantaciju i biomedicinu) trenutno je ustrojeno kao zasebna ustrojstvena jedinica Ministarstva zdravstva, no rad u sustavu državne uprave često predstavlja niz prepreka u obavljanju specifičnih poslova Zavoda, a koji uključuju stručno-analitičke poslove, hitne operativne procedure na nacionalnoj i međunarodnoj razini kao i rad u dežurstvima (0-24 h).</w:t>
            </w:r>
          </w:p>
          <w:p w:rsidR="00E73641" w:rsidRPr="00B63C51" w:rsidRDefault="00E73641"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 cilju podizanja operativnosti i učinkovitosti nacionalnog transplantacijskog programa te pozicioniranja Republike Hrvatske kao regionalnog lidera na ovom području zakonom bi trebalo osnovati Hrvatski zavod za transplantaciju i biomedicinu prema modelu postojećih državnih zdravstvenih zavoda.</w:t>
            </w:r>
          </w:p>
          <w:p w:rsidR="00565965" w:rsidRPr="00D03A6E" w:rsidRDefault="00D70BFC" w:rsidP="00565965">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hAnsi="Times New Roman" w:cs="Times New Roman"/>
                <w:b/>
                <w:sz w:val="24"/>
                <w:szCs w:val="24"/>
              </w:rPr>
              <w:t>1.6</w:t>
            </w:r>
            <w:r w:rsidR="0052328E" w:rsidRPr="0052328E">
              <w:rPr>
                <w:rFonts w:ascii="Times New Roman" w:hAnsi="Times New Roman" w:cs="Times New Roman"/>
                <w:b/>
                <w:sz w:val="24"/>
                <w:szCs w:val="24"/>
              </w:rPr>
              <w:t>.</w:t>
            </w:r>
            <w:r w:rsidR="0052328E">
              <w:rPr>
                <w:rFonts w:ascii="Times New Roman" w:eastAsia="Times New Roman" w:hAnsi="Times New Roman" w:cs="Times New Roman"/>
                <w:b/>
                <w:iCs/>
                <w:color w:val="000000"/>
                <w:sz w:val="24"/>
                <w:szCs w:val="24"/>
                <w:lang w:eastAsia="hr-HR"/>
              </w:rPr>
              <w:t xml:space="preserve"> </w:t>
            </w:r>
            <w:r w:rsidR="00E73641">
              <w:rPr>
                <w:rFonts w:ascii="Times New Roman" w:eastAsia="Times New Roman" w:hAnsi="Times New Roman" w:cs="Times New Roman"/>
                <w:b/>
                <w:iCs/>
                <w:color w:val="000000"/>
                <w:sz w:val="24"/>
                <w:szCs w:val="24"/>
                <w:lang w:eastAsia="hr-HR"/>
              </w:rPr>
              <w:t>Reguliranje provođenja upravnog nadzora nad provedbom zakona i drugih propisa te zakonitošću rada i postupanja komora i drugih pravnih osoba kojima se dane javne ovlasti u zdravstvu</w:t>
            </w:r>
          </w:p>
          <w:p w:rsidR="00565965" w:rsidRPr="00565965" w:rsidRDefault="00565965"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65965">
              <w:rPr>
                <w:rFonts w:ascii="Times New Roman" w:eastAsia="Times New Roman" w:hAnsi="Times New Roman" w:cs="Times New Roman"/>
                <w:iCs/>
                <w:color w:val="000000"/>
                <w:sz w:val="24"/>
                <w:szCs w:val="24"/>
                <w:lang w:eastAsia="hr-HR"/>
              </w:rPr>
              <w:t>Ministarstvo zdravstva je ovlašteno za provođenje upravnog nadzora nad zakonitošću rada i postupanja p</w:t>
            </w:r>
            <w:r w:rsidR="00E73641">
              <w:rPr>
                <w:rFonts w:ascii="Times New Roman" w:eastAsia="Times New Roman" w:hAnsi="Times New Roman" w:cs="Times New Roman"/>
                <w:iCs/>
                <w:color w:val="000000"/>
                <w:sz w:val="24"/>
                <w:szCs w:val="24"/>
                <w:lang w:eastAsia="hr-HR"/>
              </w:rPr>
              <w:t xml:space="preserve">ravnih osoba s javnim ovlastima </w:t>
            </w:r>
            <w:r w:rsidRPr="00565965">
              <w:rPr>
                <w:rFonts w:ascii="Times New Roman" w:eastAsia="Times New Roman" w:hAnsi="Times New Roman" w:cs="Times New Roman"/>
                <w:iCs/>
                <w:color w:val="000000"/>
                <w:sz w:val="24"/>
                <w:szCs w:val="24"/>
                <w:lang w:eastAsia="hr-HR"/>
              </w:rPr>
              <w:t>nad</w:t>
            </w:r>
            <w:r w:rsidR="00E73641">
              <w:rPr>
                <w:rFonts w:ascii="Times New Roman" w:eastAsia="Times New Roman" w:hAnsi="Times New Roman" w:cs="Times New Roman"/>
                <w:iCs/>
                <w:color w:val="000000"/>
                <w:sz w:val="24"/>
                <w:szCs w:val="24"/>
                <w:lang w:eastAsia="hr-HR"/>
              </w:rPr>
              <w:t>:</w:t>
            </w:r>
            <w:r w:rsidRPr="00565965">
              <w:rPr>
                <w:rFonts w:ascii="Times New Roman" w:eastAsia="Times New Roman" w:hAnsi="Times New Roman" w:cs="Times New Roman"/>
                <w:iCs/>
                <w:color w:val="000000"/>
                <w:sz w:val="24"/>
                <w:szCs w:val="24"/>
                <w:lang w:eastAsia="hr-HR"/>
              </w:rPr>
              <w:t xml:space="preserve"> </w:t>
            </w:r>
            <w:r w:rsidR="00E73641" w:rsidRPr="00E73641">
              <w:rPr>
                <w:rFonts w:ascii="Times New Roman" w:eastAsia="Times New Roman" w:hAnsi="Times New Roman" w:cs="Times New Roman"/>
                <w:iCs/>
                <w:color w:val="000000"/>
                <w:sz w:val="24"/>
                <w:szCs w:val="24"/>
                <w:lang w:eastAsia="hr-HR"/>
              </w:rPr>
              <w:t>Hrvatskim zavodom za zdravstveno osiguranje</w:t>
            </w:r>
            <w:r w:rsidR="00E73641">
              <w:rPr>
                <w:rFonts w:ascii="Times New Roman" w:eastAsia="Times New Roman" w:hAnsi="Times New Roman" w:cs="Times New Roman"/>
                <w:iCs/>
                <w:color w:val="000000"/>
                <w:sz w:val="24"/>
                <w:szCs w:val="24"/>
                <w:lang w:eastAsia="hr-HR"/>
              </w:rPr>
              <w:t>,</w:t>
            </w:r>
            <w:r w:rsidR="00E73641" w:rsidRPr="00E73641">
              <w:rPr>
                <w:rFonts w:ascii="Times New Roman" w:eastAsia="Times New Roman" w:hAnsi="Times New Roman" w:cs="Times New Roman"/>
                <w:iCs/>
                <w:color w:val="000000"/>
                <w:sz w:val="24"/>
                <w:szCs w:val="24"/>
                <w:lang w:eastAsia="hr-HR"/>
              </w:rPr>
              <w:t xml:space="preserve"> </w:t>
            </w:r>
            <w:r w:rsidR="00005B66">
              <w:rPr>
                <w:rFonts w:ascii="Times New Roman" w:eastAsia="Times New Roman" w:hAnsi="Times New Roman" w:cs="Times New Roman"/>
                <w:iCs/>
                <w:color w:val="000000"/>
                <w:sz w:val="24"/>
                <w:szCs w:val="24"/>
                <w:lang w:eastAsia="hr-HR"/>
              </w:rPr>
              <w:t>Hrvatskim C</w:t>
            </w:r>
            <w:r w:rsidRPr="00565965">
              <w:rPr>
                <w:rFonts w:ascii="Times New Roman" w:eastAsia="Times New Roman" w:hAnsi="Times New Roman" w:cs="Times New Roman"/>
                <w:iCs/>
                <w:color w:val="000000"/>
                <w:sz w:val="24"/>
                <w:szCs w:val="24"/>
                <w:lang w:eastAsia="hr-HR"/>
              </w:rPr>
              <w:t>rvenim križem</w:t>
            </w:r>
            <w:r w:rsidR="00E73641">
              <w:rPr>
                <w:rFonts w:ascii="Times New Roman" w:eastAsia="Times New Roman" w:hAnsi="Times New Roman" w:cs="Times New Roman"/>
                <w:iCs/>
                <w:color w:val="000000"/>
                <w:sz w:val="24"/>
                <w:szCs w:val="24"/>
                <w:lang w:eastAsia="hr-HR"/>
              </w:rPr>
              <w:t xml:space="preserve">, </w:t>
            </w:r>
            <w:r w:rsidRPr="00565965">
              <w:rPr>
                <w:rFonts w:ascii="Times New Roman" w:eastAsia="Times New Roman" w:hAnsi="Times New Roman" w:cs="Times New Roman"/>
                <w:iCs/>
                <w:color w:val="000000"/>
                <w:sz w:val="24"/>
                <w:szCs w:val="24"/>
                <w:lang w:eastAsia="hr-HR"/>
              </w:rPr>
              <w:t xml:space="preserve">komorama u </w:t>
            </w:r>
            <w:r w:rsidR="00E73641">
              <w:rPr>
                <w:rFonts w:ascii="Times New Roman" w:eastAsia="Times New Roman" w:hAnsi="Times New Roman" w:cs="Times New Roman"/>
                <w:iCs/>
                <w:color w:val="000000"/>
                <w:sz w:val="24"/>
                <w:szCs w:val="24"/>
                <w:lang w:eastAsia="hr-HR"/>
              </w:rPr>
              <w:t>zdravstvu i</w:t>
            </w:r>
            <w:r w:rsidRPr="00565965">
              <w:rPr>
                <w:rFonts w:ascii="Times New Roman" w:eastAsia="Times New Roman" w:hAnsi="Times New Roman" w:cs="Times New Roman"/>
                <w:iCs/>
                <w:color w:val="000000"/>
                <w:sz w:val="24"/>
                <w:szCs w:val="24"/>
                <w:lang w:eastAsia="hr-HR"/>
              </w:rPr>
              <w:t xml:space="preserve"> drugim pravnim osobama s javnim ovlastima u zdravstvu.</w:t>
            </w:r>
          </w:p>
          <w:p w:rsidR="00565965" w:rsidRPr="00565965" w:rsidRDefault="00565965"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65965">
              <w:rPr>
                <w:rFonts w:ascii="Times New Roman" w:eastAsia="Times New Roman" w:hAnsi="Times New Roman" w:cs="Times New Roman"/>
                <w:iCs/>
                <w:color w:val="000000"/>
                <w:sz w:val="24"/>
                <w:szCs w:val="24"/>
                <w:lang w:eastAsia="hr-HR"/>
              </w:rPr>
              <w:t>Temeljem članka 22. točke 5. Zakona o sustavu državne uprave</w:t>
            </w:r>
            <w:r w:rsidR="00E73641">
              <w:rPr>
                <w:rFonts w:ascii="Times New Roman" w:eastAsia="Times New Roman" w:hAnsi="Times New Roman" w:cs="Times New Roman"/>
                <w:iCs/>
                <w:color w:val="000000"/>
                <w:sz w:val="24"/>
                <w:szCs w:val="24"/>
                <w:lang w:eastAsia="hr-HR"/>
              </w:rPr>
              <w:t xml:space="preserve"> („Narodne novine“, broj 150/11, 12/13, 93/16 i </w:t>
            </w:r>
            <w:r w:rsidR="00E73641" w:rsidRPr="00E73641">
              <w:rPr>
                <w:rFonts w:ascii="Times New Roman" w:eastAsia="Times New Roman" w:hAnsi="Times New Roman" w:cs="Times New Roman"/>
                <w:iCs/>
                <w:color w:val="000000"/>
                <w:sz w:val="24"/>
                <w:szCs w:val="24"/>
                <w:lang w:eastAsia="hr-HR"/>
              </w:rPr>
              <w:t>104/16</w:t>
            </w:r>
            <w:r w:rsidR="00E73641">
              <w:rPr>
                <w:rFonts w:ascii="Times New Roman" w:eastAsia="Times New Roman" w:hAnsi="Times New Roman" w:cs="Times New Roman"/>
                <w:iCs/>
                <w:color w:val="000000"/>
                <w:sz w:val="24"/>
                <w:szCs w:val="24"/>
                <w:lang w:eastAsia="hr-HR"/>
              </w:rPr>
              <w:t>)</w:t>
            </w:r>
            <w:r w:rsidRPr="00565965">
              <w:rPr>
                <w:rFonts w:ascii="Times New Roman" w:eastAsia="Times New Roman" w:hAnsi="Times New Roman" w:cs="Times New Roman"/>
                <w:iCs/>
                <w:color w:val="000000"/>
                <w:sz w:val="24"/>
                <w:szCs w:val="24"/>
                <w:lang w:eastAsia="hr-HR"/>
              </w:rPr>
              <w:t>, posebnim zakonom mogu se propisati mjere prilagođene potrebama određenog područja,</w:t>
            </w:r>
            <w:r>
              <w:rPr>
                <w:rFonts w:ascii="Times New Roman" w:eastAsia="Times New Roman" w:hAnsi="Times New Roman" w:cs="Times New Roman"/>
                <w:iCs/>
                <w:color w:val="000000"/>
                <w:sz w:val="24"/>
                <w:szCs w:val="24"/>
                <w:lang w:eastAsia="hr-HR"/>
              </w:rPr>
              <w:t xml:space="preserve"> kao što je područje zdravstva.</w:t>
            </w:r>
          </w:p>
          <w:p w:rsidR="00565965" w:rsidRPr="00565965" w:rsidRDefault="00565965"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65965">
              <w:rPr>
                <w:rFonts w:ascii="Times New Roman" w:eastAsia="Times New Roman" w:hAnsi="Times New Roman" w:cs="Times New Roman"/>
                <w:iCs/>
                <w:color w:val="000000"/>
                <w:sz w:val="24"/>
                <w:szCs w:val="24"/>
                <w:lang w:eastAsia="hr-HR"/>
              </w:rPr>
              <w:t xml:space="preserve">Slijedom navedenog, predlaže se regulirati upravni nadzor u novom Zakonu o zdravstvenoj </w:t>
            </w:r>
            <w:r w:rsidRPr="00565965">
              <w:rPr>
                <w:rFonts w:ascii="Times New Roman" w:eastAsia="Times New Roman" w:hAnsi="Times New Roman" w:cs="Times New Roman"/>
                <w:iCs/>
                <w:color w:val="000000"/>
                <w:sz w:val="24"/>
                <w:szCs w:val="24"/>
                <w:lang w:eastAsia="hr-HR"/>
              </w:rPr>
              <w:lastRenderedPageBreak/>
              <w:t>zaštiti i urediti područje upravnog nadzora u zdravstvu, kako bi se postigla djelotvornost, ekonomičnost i svrhovitost rada u obavljanju poslova državne uprave te osigurala zakonitost postupa</w:t>
            </w:r>
            <w:r w:rsidR="00E73641">
              <w:rPr>
                <w:rFonts w:ascii="Times New Roman" w:eastAsia="Times New Roman" w:hAnsi="Times New Roman" w:cs="Times New Roman"/>
                <w:iCs/>
                <w:color w:val="000000"/>
                <w:sz w:val="24"/>
                <w:szCs w:val="24"/>
                <w:lang w:eastAsia="hr-HR"/>
              </w:rPr>
              <w:t>nja prema građanima u zdravstvu.</w:t>
            </w:r>
            <w:r w:rsidRPr="00565965">
              <w:rPr>
                <w:rFonts w:ascii="Times New Roman" w:eastAsia="Times New Roman" w:hAnsi="Times New Roman" w:cs="Times New Roman"/>
                <w:iCs/>
                <w:color w:val="000000"/>
                <w:sz w:val="24"/>
                <w:szCs w:val="24"/>
                <w:lang w:eastAsia="hr-HR"/>
              </w:rPr>
              <w:t xml:space="preserve"> </w:t>
            </w:r>
          </w:p>
          <w:p w:rsidR="00506FB7" w:rsidRPr="001C6D9E" w:rsidRDefault="00506FB7" w:rsidP="00506FB7">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1C6D9E">
              <w:rPr>
                <w:rFonts w:ascii="Times New Roman" w:eastAsia="Times New Roman" w:hAnsi="Times New Roman" w:cs="Times New Roman"/>
                <w:b/>
                <w:iCs/>
                <w:color w:val="000000"/>
                <w:sz w:val="24"/>
                <w:szCs w:val="24"/>
                <w:lang w:eastAsia="hr-HR"/>
              </w:rPr>
              <w:t>2. CILJEVI</w:t>
            </w:r>
          </w:p>
          <w:p w:rsidR="00506FB7" w:rsidRDefault="00EF642E" w:rsidP="00506FB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Temeljni preduvjet za ostvarenje strateških reformskih zadataka na području zdravstva jest  normativni obuhvat rješenja kojim će se ostvariti </w:t>
            </w:r>
            <w:r w:rsidR="0078682A">
              <w:rPr>
                <w:rFonts w:ascii="Times New Roman" w:eastAsia="Times New Roman" w:hAnsi="Times New Roman" w:cs="Times New Roman"/>
                <w:iCs/>
                <w:color w:val="000000"/>
                <w:sz w:val="24"/>
                <w:szCs w:val="24"/>
                <w:lang w:eastAsia="hr-HR"/>
              </w:rPr>
              <w:t xml:space="preserve">sljedeći ciljevi: </w:t>
            </w:r>
            <w:r>
              <w:rPr>
                <w:rFonts w:ascii="Times New Roman" w:eastAsia="Times New Roman" w:hAnsi="Times New Roman" w:cs="Times New Roman"/>
                <w:iCs/>
                <w:color w:val="000000"/>
                <w:sz w:val="24"/>
                <w:szCs w:val="24"/>
                <w:lang w:eastAsia="hr-HR"/>
              </w:rPr>
              <w:t xml:space="preserve"> </w:t>
            </w:r>
          </w:p>
          <w:p w:rsidR="00E73641" w:rsidRPr="00E73641" w:rsidRDefault="00005B66" w:rsidP="00B0080A">
            <w:pPr>
              <w:pStyle w:val="Odlomakpopisa"/>
              <w:numPr>
                <w:ilvl w:val="0"/>
                <w:numId w:val="3"/>
              </w:numPr>
              <w:spacing w:line="240" w:lineRule="auto"/>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j</w:t>
            </w:r>
            <w:r w:rsidR="00E73641" w:rsidRPr="00E73641">
              <w:rPr>
                <w:rFonts w:ascii="Times New Roman" w:eastAsia="Times New Roman" w:hAnsi="Times New Roman" w:cs="Times New Roman"/>
                <w:iCs/>
                <w:color w:val="000000"/>
                <w:sz w:val="24"/>
                <w:szCs w:val="24"/>
                <w:lang w:eastAsia="hr-HR"/>
              </w:rPr>
              <w:t xml:space="preserve">ačanje uloge primarne zdravstvene zaštite </w:t>
            </w:r>
          </w:p>
          <w:p w:rsidR="0052328E" w:rsidRPr="00A55BE8" w:rsidRDefault="002D666C"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definiranje</w:t>
            </w:r>
            <w:r w:rsidR="00CA77B5" w:rsidRPr="00A55BE8">
              <w:rPr>
                <w:rFonts w:ascii="Times New Roman" w:eastAsia="Times New Roman" w:hAnsi="Times New Roman" w:cs="Times New Roman"/>
                <w:iCs/>
                <w:color w:val="000000"/>
                <w:sz w:val="24"/>
                <w:szCs w:val="24"/>
                <w:lang w:eastAsia="hr-HR"/>
              </w:rPr>
              <w:t xml:space="preserve"> uloge doma zdravlja na području razvoja </w:t>
            </w:r>
            <w:r w:rsidRPr="00A55BE8">
              <w:rPr>
                <w:rFonts w:ascii="Times New Roman" w:eastAsia="Times New Roman" w:hAnsi="Times New Roman" w:cs="Times New Roman"/>
                <w:iCs/>
                <w:color w:val="000000"/>
                <w:sz w:val="24"/>
                <w:szCs w:val="24"/>
                <w:lang w:eastAsia="hr-HR"/>
              </w:rPr>
              <w:t>zdravstvene zaštite u zajednici</w:t>
            </w:r>
          </w:p>
          <w:p w:rsidR="00CA77B5" w:rsidRPr="00A55BE8" w:rsidRDefault="0052328E"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jačanje preventivne zdravstvene zaštite na svim razinama</w:t>
            </w:r>
          </w:p>
          <w:p w:rsidR="00CA77B5" w:rsidRPr="00A55BE8" w:rsidRDefault="002D666C" w:rsidP="002D666C">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 xml:space="preserve">unapređenje organizacije </w:t>
            </w:r>
            <w:r w:rsidR="00CA77B5" w:rsidRPr="00A55BE8">
              <w:rPr>
                <w:rFonts w:ascii="Times New Roman" w:eastAsia="Times New Roman" w:hAnsi="Times New Roman" w:cs="Times New Roman"/>
                <w:iCs/>
                <w:color w:val="000000"/>
                <w:sz w:val="24"/>
                <w:szCs w:val="24"/>
                <w:lang w:eastAsia="hr-HR"/>
              </w:rPr>
              <w:t>djelatnosti hitne medicine</w:t>
            </w:r>
          </w:p>
          <w:p w:rsidR="00B0080A" w:rsidRPr="00B0080A" w:rsidRDefault="00005B66" w:rsidP="00B0080A">
            <w:pPr>
              <w:pStyle w:val="Odlomakpopisa"/>
              <w:numPr>
                <w:ilvl w:val="0"/>
                <w:numId w:val="3"/>
              </w:numPr>
              <w:spacing w:line="240" w:lineRule="auto"/>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B0080A" w:rsidRPr="00B0080A">
              <w:rPr>
                <w:rFonts w:ascii="Times New Roman" w:eastAsia="Times New Roman" w:hAnsi="Times New Roman" w:cs="Times New Roman"/>
                <w:iCs/>
                <w:color w:val="000000"/>
                <w:sz w:val="24"/>
                <w:szCs w:val="24"/>
                <w:lang w:eastAsia="hr-HR"/>
              </w:rPr>
              <w:t xml:space="preserve">eguliranje djelatnosti palijativne skrbi i razine zdravstvene djelatnosti na kojoj se pruža </w:t>
            </w:r>
          </w:p>
          <w:p w:rsidR="00CA77B5" w:rsidRPr="00E73641"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CA77B5" w:rsidRPr="00E73641">
              <w:rPr>
                <w:rFonts w:ascii="Times New Roman" w:eastAsia="Times New Roman" w:hAnsi="Times New Roman" w:cs="Times New Roman"/>
                <w:iCs/>
                <w:color w:val="000000"/>
                <w:sz w:val="24"/>
                <w:szCs w:val="24"/>
                <w:lang w:eastAsia="hr-HR"/>
              </w:rPr>
              <w:t>eorganizacija susta</w:t>
            </w:r>
            <w:r w:rsidR="002D666C">
              <w:rPr>
                <w:rFonts w:ascii="Times New Roman" w:eastAsia="Times New Roman" w:hAnsi="Times New Roman" w:cs="Times New Roman"/>
                <w:iCs/>
                <w:color w:val="000000"/>
                <w:sz w:val="24"/>
                <w:szCs w:val="24"/>
                <w:lang w:eastAsia="hr-HR"/>
              </w:rPr>
              <w:t>va bolničke zdravstvene zaštite</w:t>
            </w:r>
          </w:p>
          <w:p w:rsidR="00CA77B5" w:rsidRPr="00E73641"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j</w:t>
            </w:r>
            <w:r w:rsidR="002D666C">
              <w:rPr>
                <w:rFonts w:ascii="Times New Roman" w:eastAsia="Times New Roman" w:hAnsi="Times New Roman" w:cs="Times New Roman"/>
                <w:iCs/>
                <w:color w:val="000000"/>
                <w:sz w:val="24"/>
                <w:szCs w:val="24"/>
                <w:lang w:eastAsia="hr-HR"/>
              </w:rPr>
              <w:t>ačanje dnevnih bolnica</w:t>
            </w:r>
          </w:p>
          <w:p w:rsidR="00CA77B5"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CA77B5" w:rsidRPr="00E73641">
              <w:rPr>
                <w:rFonts w:ascii="Times New Roman" w:eastAsia="Times New Roman" w:hAnsi="Times New Roman" w:cs="Times New Roman"/>
                <w:iCs/>
                <w:color w:val="000000"/>
                <w:sz w:val="24"/>
                <w:szCs w:val="24"/>
                <w:lang w:eastAsia="hr-HR"/>
              </w:rPr>
              <w:t>vođenje Nacionalnog registra pružatelja zdravstvene zaštite koji će obuhvaćati sve zdravstvene ustanove i privatne zdravstvene radnike koji o</w:t>
            </w:r>
            <w:r w:rsidR="002D666C">
              <w:rPr>
                <w:rFonts w:ascii="Times New Roman" w:eastAsia="Times New Roman" w:hAnsi="Times New Roman" w:cs="Times New Roman"/>
                <w:iCs/>
                <w:color w:val="000000"/>
                <w:sz w:val="24"/>
                <w:szCs w:val="24"/>
                <w:lang w:eastAsia="hr-HR"/>
              </w:rPr>
              <w:t>bavljaju zdravstvenu djelatnost</w:t>
            </w:r>
          </w:p>
          <w:p w:rsidR="00274DAD" w:rsidRPr="00274DAD" w:rsidRDefault="00005B66" w:rsidP="00B0080A">
            <w:pPr>
              <w:pStyle w:val="Odlomakpopisa"/>
              <w:numPr>
                <w:ilvl w:val="0"/>
                <w:numId w:val="3"/>
              </w:numPr>
              <w:spacing w:line="240" w:lineRule="auto"/>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274DAD" w:rsidRPr="00274DAD">
              <w:rPr>
                <w:rFonts w:ascii="Times New Roman" w:eastAsia="Times New Roman" w:hAnsi="Times New Roman" w:cs="Times New Roman"/>
                <w:iCs/>
                <w:color w:val="000000"/>
                <w:sz w:val="24"/>
                <w:szCs w:val="24"/>
                <w:lang w:eastAsia="hr-HR"/>
              </w:rPr>
              <w:t>činkovito upravljanje lju</w:t>
            </w:r>
            <w:r w:rsidR="002D666C">
              <w:rPr>
                <w:rFonts w:ascii="Times New Roman" w:eastAsia="Times New Roman" w:hAnsi="Times New Roman" w:cs="Times New Roman"/>
                <w:iCs/>
                <w:color w:val="000000"/>
                <w:sz w:val="24"/>
                <w:szCs w:val="24"/>
                <w:lang w:eastAsia="hr-HR"/>
              </w:rPr>
              <w:t>dskim potencijalima u zdravstvu</w:t>
            </w:r>
          </w:p>
          <w:p w:rsidR="00CA77B5" w:rsidRPr="00E73641"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CA77B5" w:rsidRPr="00E73641">
              <w:rPr>
                <w:rFonts w:ascii="Times New Roman" w:eastAsia="Times New Roman" w:hAnsi="Times New Roman" w:cs="Times New Roman"/>
                <w:iCs/>
                <w:color w:val="000000"/>
                <w:sz w:val="24"/>
                <w:szCs w:val="24"/>
                <w:lang w:eastAsia="hr-HR"/>
              </w:rPr>
              <w:t>eguliranje zdravstvenog turizma</w:t>
            </w:r>
            <w:r w:rsidR="002D666C">
              <w:rPr>
                <w:rFonts w:ascii="Times New Roman" w:eastAsia="Times New Roman" w:hAnsi="Times New Roman" w:cs="Times New Roman"/>
                <w:iCs/>
                <w:color w:val="000000"/>
                <w:sz w:val="24"/>
                <w:szCs w:val="24"/>
                <w:lang w:eastAsia="hr-HR"/>
              </w:rPr>
              <w:t>, njegovih oblika i pružatelja.</w:t>
            </w:r>
          </w:p>
          <w:p w:rsidR="00CA77B5" w:rsidRPr="00E73641"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CA77B5" w:rsidRPr="00E73641">
              <w:rPr>
                <w:rFonts w:ascii="Times New Roman" w:eastAsia="Times New Roman" w:hAnsi="Times New Roman" w:cs="Times New Roman"/>
                <w:iCs/>
                <w:color w:val="000000"/>
                <w:sz w:val="24"/>
                <w:szCs w:val="24"/>
                <w:lang w:eastAsia="hr-HR"/>
              </w:rPr>
              <w:t xml:space="preserve">edefiniranje djelatnosti pojedinih </w:t>
            </w:r>
            <w:r w:rsidR="002D666C">
              <w:rPr>
                <w:rFonts w:ascii="Times New Roman" w:eastAsia="Times New Roman" w:hAnsi="Times New Roman" w:cs="Times New Roman"/>
                <w:iCs/>
                <w:color w:val="000000"/>
                <w:sz w:val="24"/>
                <w:szCs w:val="24"/>
                <w:lang w:eastAsia="hr-HR"/>
              </w:rPr>
              <w:t>zdravstvenih zavoda</w:t>
            </w:r>
          </w:p>
          <w:p w:rsidR="00032C86" w:rsidRPr="004017CB" w:rsidRDefault="00005B66" w:rsidP="00032C86">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CA77B5" w:rsidRPr="00E73641">
              <w:rPr>
                <w:rFonts w:ascii="Times New Roman" w:eastAsia="Times New Roman" w:hAnsi="Times New Roman" w:cs="Times New Roman"/>
                <w:iCs/>
                <w:color w:val="000000"/>
                <w:sz w:val="24"/>
                <w:szCs w:val="24"/>
                <w:lang w:eastAsia="hr-HR"/>
              </w:rPr>
              <w:t xml:space="preserve">eguliranje provođenja upravnog nadzora nad provedbom zakona i drugih propisa te zakonitošću rada i postupanja komora i drugih pravnih osoba kojima su dane javne ovlasti u zdravstvenoj djelatnosti. </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 xml:space="preserve">3. MOGUĆE OPCIJE </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EB7935" w:rsidRDefault="004017CB"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EB7935">
              <w:rPr>
                <w:rFonts w:ascii="Times New Roman" w:eastAsia="Times New Roman" w:hAnsi="Times New Roman" w:cs="Times New Roman"/>
                <w:b/>
                <w:color w:val="000000"/>
                <w:sz w:val="24"/>
                <w:szCs w:val="24"/>
                <w:lang w:eastAsia="hr-HR"/>
              </w:rPr>
              <w:t>3.1. OPCIJA 1 – n</w:t>
            </w:r>
            <w:r w:rsidR="00032C86" w:rsidRPr="00EB7935">
              <w:rPr>
                <w:rFonts w:ascii="Times New Roman" w:eastAsia="Times New Roman" w:hAnsi="Times New Roman" w:cs="Times New Roman"/>
                <w:b/>
                <w:color w:val="000000"/>
                <w:sz w:val="24"/>
                <w:szCs w:val="24"/>
                <w:lang w:eastAsia="hr-HR"/>
              </w:rPr>
              <w:t>e poduzimati ništa (</w:t>
            </w:r>
            <w:proofErr w:type="spellStart"/>
            <w:r w:rsidR="00032C86" w:rsidRPr="00EB7935">
              <w:rPr>
                <w:rFonts w:ascii="Times New Roman" w:eastAsia="Times New Roman" w:hAnsi="Times New Roman" w:cs="Times New Roman"/>
                <w:b/>
                <w:color w:val="000000"/>
                <w:sz w:val="24"/>
                <w:szCs w:val="24"/>
                <w:lang w:eastAsia="hr-HR"/>
              </w:rPr>
              <w:t>nenormativno</w:t>
            </w:r>
            <w:proofErr w:type="spellEnd"/>
            <w:r w:rsidR="00032C86" w:rsidRPr="00EB7935">
              <w:rPr>
                <w:rFonts w:ascii="Times New Roman" w:eastAsia="Times New Roman" w:hAnsi="Times New Roman" w:cs="Times New Roman"/>
                <w:b/>
                <w:color w:val="000000"/>
                <w:sz w:val="24"/>
                <w:szCs w:val="24"/>
                <w:lang w:eastAsia="hr-HR"/>
              </w:rPr>
              <w:t xml:space="preserve"> rješenje)</w:t>
            </w:r>
          </w:p>
          <w:p w:rsidR="004017CB" w:rsidRPr="00032C86" w:rsidRDefault="004017CB"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se odnosi na zadržavanje postojećeg stanja. Zakonodavni okvir ostaje isti. Ako zakonodavac ne intervenira u cilju rješenja postojećih problema neće se ostvariti preduvjeti za ostvarenje reformskih ciljeva</w:t>
            </w:r>
            <w:r w:rsidR="00EB7935">
              <w:rPr>
                <w:rFonts w:ascii="Times New Roman" w:eastAsia="Times New Roman" w:hAnsi="Times New Roman" w:cs="Times New Roman"/>
                <w:color w:val="000000"/>
                <w:sz w:val="24"/>
                <w:szCs w:val="24"/>
                <w:lang w:eastAsia="hr-HR"/>
              </w:rPr>
              <w:t xml:space="preserve"> na području cjelovite reorganizacije zdravstvenog sustava Republike Hrvatske.</w:t>
            </w:r>
          </w:p>
          <w:p w:rsidR="00032C86" w:rsidRPr="00EB7935" w:rsidRDefault="00032C86"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EB7935">
              <w:rPr>
                <w:rFonts w:ascii="Times New Roman" w:eastAsia="Times New Roman" w:hAnsi="Times New Roman" w:cs="Times New Roman"/>
                <w:b/>
                <w:color w:val="000000"/>
                <w:sz w:val="24"/>
                <w:szCs w:val="24"/>
                <w:lang w:eastAsia="hr-HR"/>
              </w:rPr>
              <w:t xml:space="preserve">3.2. OPCIJA 2: – </w:t>
            </w:r>
            <w:r w:rsidR="00497624">
              <w:rPr>
                <w:rFonts w:ascii="Times New Roman" w:eastAsia="Times New Roman" w:hAnsi="Times New Roman" w:cs="Times New Roman"/>
                <w:b/>
                <w:color w:val="000000"/>
                <w:sz w:val="24"/>
                <w:szCs w:val="24"/>
                <w:lang w:eastAsia="hr-HR"/>
              </w:rPr>
              <w:t>Rješavanje postavljenih problema i ostvarivanje planiranih ciljeva putem tumačenja zakonskih odredbi i putem uputa, uključujući interne upute</w:t>
            </w:r>
          </w:p>
          <w:p w:rsidR="00EB7935" w:rsidRPr="00032C86" w:rsidRDefault="00497624"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 opcija odnosi se na zadržavanje postojećeg stanja koja isključuje promjenu zakonodavnog okvira i djelomično se temelji na opisu situacije pod Opcijom 1. Ako zakonodavac ne intervenira u ovo područje rješavanje postavljenih problema i ostvarivanje planiranih ciljeva neće se moći postići primjenom određenih </w:t>
            </w:r>
            <w:proofErr w:type="spellStart"/>
            <w:r>
              <w:rPr>
                <w:rFonts w:ascii="Times New Roman" w:eastAsia="Times New Roman" w:hAnsi="Times New Roman" w:cs="Times New Roman"/>
                <w:color w:val="000000"/>
                <w:sz w:val="24"/>
                <w:szCs w:val="24"/>
                <w:lang w:eastAsia="hr-HR"/>
              </w:rPr>
              <w:t>nenormativnih</w:t>
            </w:r>
            <w:proofErr w:type="spellEnd"/>
            <w:r>
              <w:rPr>
                <w:rFonts w:ascii="Times New Roman" w:eastAsia="Times New Roman" w:hAnsi="Times New Roman" w:cs="Times New Roman"/>
                <w:color w:val="000000"/>
                <w:sz w:val="24"/>
                <w:szCs w:val="24"/>
                <w:lang w:eastAsia="hr-HR"/>
              </w:rPr>
              <w:t xml:space="preserve"> rješenja (npr. internim uputama, tumačenjima i sl.).</w:t>
            </w:r>
          </w:p>
          <w:p w:rsidR="00032C86" w:rsidRDefault="00032C86"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497624">
              <w:rPr>
                <w:rFonts w:ascii="Times New Roman" w:eastAsia="Times New Roman" w:hAnsi="Times New Roman" w:cs="Times New Roman"/>
                <w:b/>
                <w:color w:val="000000"/>
                <w:sz w:val="24"/>
                <w:szCs w:val="24"/>
                <w:lang w:eastAsia="hr-HR"/>
              </w:rPr>
              <w:t xml:space="preserve">3.3. OPCIJA 3: – </w:t>
            </w:r>
            <w:r w:rsidR="00497624">
              <w:rPr>
                <w:rFonts w:ascii="Times New Roman" w:eastAsia="Times New Roman" w:hAnsi="Times New Roman" w:cs="Times New Roman"/>
                <w:b/>
                <w:color w:val="000000"/>
                <w:sz w:val="24"/>
                <w:szCs w:val="24"/>
                <w:lang w:eastAsia="hr-HR"/>
              </w:rPr>
              <w:t xml:space="preserve">Izmjena </w:t>
            </w:r>
            <w:r w:rsidR="003323FF">
              <w:rPr>
                <w:rFonts w:ascii="Times New Roman" w:eastAsia="Times New Roman" w:hAnsi="Times New Roman" w:cs="Times New Roman"/>
                <w:b/>
                <w:color w:val="000000"/>
                <w:sz w:val="24"/>
                <w:szCs w:val="24"/>
                <w:lang w:eastAsia="hr-HR"/>
              </w:rPr>
              <w:t>zakonodavnog</w:t>
            </w:r>
            <w:r w:rsidR="00497624">
              <w:rPr>
                <w:rFonts w:ascii="Times New Roman" w:eastAsia="Times New Roman" w:hAnsi="Times New Roman" w:cs="Times New Roman"/>
                <w:b/>
                <w:color w:val="000000"/>
                <w:sz w:val="24"/>
                <w:szCs w:val="24"/>
                <w:lang w:eastAsia="hr-HR"/>
              </w:rPr>
              <w:t xml:space="preserve"> okvira u cilju rješavanja postavljenih problema i ostvarivanja planiranih ciljeva</w:t>
            </w:r>
          </w:p>
          <w:p w:rsidR="005417FE" w:rsidRPr="005417FE" w:rsidRDefault="005417FE"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Sukladno članku 48. stavku 4. Jedinstvenih metodološko-</w:t>
            </w:r>
            <w:proofErr w:type="spellStart"/>
            <w:r>
              <w:rPr>
                <w:rFonts w:ascii="Times New Roman" w:eastAsia="Times New Roman" w:hAnsi="Times New Roman" w:cs="Times New Roman"/>
                <w:color w:val="000000"/>
                <w:sz w:val="24"/>
                <w:szCs w:val="24"/>
                <w:lang w:eastAsia="hr-HR"/>
              </w:rPr>
              <w:t>nomotehničkih</w:t>
            </w:r>
            <w:proofErr w:type="spellEnd"/>
            <w:r>
              <w:rPr>
                <w:rFonts w:ascii="Times New Roman" w:eastAsia="Times New Roman" w:hAnsi="Times New Roman" w:cs="Times New Roman"/>
                <w:color w:val="000000"/>
                <w:sz w:val="24"/>
                <w:szCs w:val="24"/>
                <w:lang w:eastAsia="hr-HR"/>
              </w:rPr>
              <w:t xml:space="preserve"> pravila („Narodne </w:t>
            </w:r>
            <w:r>
              <w:rPr>
                <w:rFonts w:ascii="Times New Roman" w:eastAsia="Times New Roman" w:hAnsi="Times New Roman" w:cs="Times New Roman"/>
                <w:color w:val="000000"/>
                <w:sz w:val="24"/>
                <w:szCs w:val="24"/>
                <w:lang w:eastAsia="hr-HR"/>
              </w:rPr>
              <w:lastRenderedPageBreak/>
              <w:t>novine“, broj 74/15) ako se propis mijenja, odnosno dopunjava više puta potrebno je pristupiti donošenju novoga propisa, u pravilu nakon</w:t>
            </w:r>
            <w:r w:rsidR="009905AB">
              <w:rPr>
                <w:rFonts w:ascii="Times New Roman" w:eastAsia="Times New Roman" w:hAnsi="Times New Roman" w:cs="Times New Roman"/>
                <w:color w:val="000000"/>
                <w:sz w:val="24"/>
                <w:szCs w:val="24"/>
                <w:lang w:eastAsia="hr-HR"/>
              </w:rPr>
              <w:t xml:space="preserve"> treće</w:t>
            </w:r>
            <w:r>
              <w:rPr>
                <w:rFonts w:ascii="Times New Roman" w:eastAsia="Times New Roman" w:hAnsi="Times New Roman" w:cs="Times New Roman"/>
                <w:color w:val="000000"/>
                <w:sz w:val="24"/>
                <w:szCs w:val="24"/>
                <w:lang w:eastAsia="hr-HR"/>
              </w:rPr>
              <w:t xml:space="preserve"> izmjene, odnosno dopune. S obzirom na činjenicu da je Zakon o zdravstvenoj zaštiti („Narodne novine“, broj 150/08) mijenjan i dopunjavan 10 puta naznačeni planirani ciljevi ne mogu se postići izmjenama i dopunama važećega Zakona.</w:t>
            </w:r>
          </w:p>
          <w:p w:rsidR="00032C86" w:rsidRDefault="00032C86"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E84D42">
              <w:rPr>
                <w:rFonts w:ascii="Times New Roman" w:eastAsia="Times New Roman" w:hAnsi="Times New Roman" w:cs="Times New Roman"/>
                <w:b/>
                <w:color w:val="000000"/>
                <w:sz w:val="24"/>
                <w:szCs w:val="24"/>
                <w:lang w:eastAsia="hr-HR"/>
              </w:rPr>
              <w:t xml:space="preserve">3.4. OPCIJA 4: – </w:t>
            </w:r>
            <w:r w:rsidR="00B42670">
              <w:rPr>
                <w:rFonts w:ascii="Times New Roman" w:eastAsia="Times New Roman" w:hAnsi="Times New Roman" w:cs="Times New Roman"/>
                <w:b/>
                <w:color w:val="000000"/>
                <w:sz w:val="24"/>
                <w:szCs w:val="24"/>
                <w:lang w:eastAsia="hr-HR"/>
              </w:rPr>
              <w:t>Donošenje novog Zakona o zdravstvenoj zaštiti</w:t>
            </w:r>
          </w:p>
          <w:p w:rsidR="00E84D42" w:rsidRPr="00E84D42" w:rsidRDefault="005417FE" w:rsidP="00984FE1">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Normativno rješenje koje podrazumijeva donošenje novoga Zakona smatra se optimalnim rješenjem sukladno provedenoj analizi temeljem prikupljenih podataka te potrebama rješavanja postavljenih problema. Ostvarivanje postavljenih ciljeva moguće je postići isključivo donošenjem cjelovitog novoga Zakona o zdravstvenoj zaštiti.</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4. USPOREDBA OPCIJA</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Default="00984FE1"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 ovom dijelu daju</w:t>
            </w:r>
            <w:r w:rsidR="005417FE" w:rsidRPr="005417FE">
              <w:rPr>
                <w:rFonts w:ascii="Times New Roman" w:eastAsia="Times New Roman" w:hAnsi="Times New Roman" w:cs="Times New Roman"/>
                <w:iCs/>
                <w:color w:val="000000"/>
                <w:sz w:val="24"/>
                <w:szCs w:val="24"/>
                <w:lang w:eastAsia="hr-HR"/>
              </w:rPr>
              <w:t xml:space="preserve"> se procjene gospodarskih, socijalnih i okolišnih</w:t>
            </w:r>
            <w:r w:rsidR="005417FE">
              <w:rPr>
                <w:rFonts w:ascii="Times New Roman" w:eastAsia="Times New Roman" w:hAnsi="Times New Roman" w:cs="Times New Roman"/>
                <w:iCs/>
                <w:color w:val="000000"/>
                <w:sz w:val="24"/>
                <w:szCs w:val="24"/>
                <w:lang w:eastAsia="hr-HR"/>
              </w:rPr>
              <w:t xml:space="preserve"> učinaka naprijed utvrđenih opcija.</w:t>
            </w:r>
          </w:p>
          <w:p w:rsidR="00984FE1" w:rsidRDefault="00984FE1"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Utvrđeni učinci koji su zajednički za sve naprijed navedene opcije:</w:t>
            </w:r>
          </w:p>
          <w:p w:rsidR="00984FE1" w:rsidRPr="00984FE1" w:rsidRDefault="00984FE1" w:rsidP="00032C8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iCs/>
                <w:color w:val="000000"/>
                <w:sz w:val="24"/>
                <w:szCs w:val="24"/>
                <w:lang w:eastAsia="hr-HR"/>
              </w:rPr>
              <w:t xml:space="preserve">- </w:t>
            </w:r>
            <w:r w:rsidRPr="00984FE1">
              <w:rPr>
                <w:rFonts w:ascii="Times New Roman" w:eastAsia="Times New Roman" w:hAnsi="Times New Roman" w:cs="Times New Roman"/>
                <w:b/>
                <w:iCs/>
                <w:color w:val="000000"/>
                <w:sz w:val="24"/>
                <w:szCs w:val="24"/>
                <w:lang w:eastAsia="hr-HR"/>
              </w:rPr>
              <w:t>gospodarski učinci</w:t>
            </w:r>
            <w:r>
              <w:rPr>
                <w:rFonts w:ascii="Times New Roman" w:eastAsia="Times New Roman" w:hAnsi="Times New Roman" w:cs="Times New Roman"/>
                <w:b/>
                <w:iCs/>
                <w:color w:val="000000"/>
                <w:sz w:val="24"/>
                <w:szCs w:val="24"/>
                <w:lang w:eastAsia="hr-HR"/>
              </w:rPr>
              <w:t>:</w:t>
            </w:r>
            <w:r w:rsidR="00DE4957">
              <w:rPr>
                <w:rFonts w:ascii="Times New Roman" w:eastAsia="Times New Roman" w:hAnsi="Times New Roman" w:cs="Times New Roman"/>
                <w:b/>
                <w:iCs/>
                <w:color w:val="000000"/>
                <w:sz w:val="24"/>
                <w:szCs w:val="24"/>
                <w:lang w:eastAsia="hr-HR"/>
              </w:rPr>
              <w:t xml:space="preserve"> </w:t>
            </w:r>
            <w:r w:rsidR="00DE4957" w:rsidRPr="00DE4957">
              <w:rPr>
                <w:rFonts w:ascii="Times New Roman" w:eastAsia="Times New Roman" w:hAnsi="Times New Roman" w:cs="Times New Roman"/>
                <w:iCs/>
                <w:color w:val="000000"/>
                <w:sz w:val="24"/>
                <w:szCs w:val="24"/>
                <w:lang w:eastAsia="hr-HR"/>
              </w:rPr>
              <w:t>utvrđene opcije</w:t>
            </w:r>
            <w:r w:rsidR="00B446E1">
              <w:rPr>
                <w:rFonts w:ascii="Times New Roman" w:eastAsia="Times New Roman" w:hAnsi="Times New Roman" w:cs="Times New Roman"/>
                <w:iCs/>
                <w:color w:val="000000"/>
                <w:sz w:val="24"/>
                <w:szCs w:val="24"/>
                <w:lang w:eastAsia="hr-HR"/>
              </w:rPr>
              <w:t xml:space="preserve"> (opcija 1 i opcija 2)</w:t>
            </w:r>
            <w:r w:rsidR="00DE4957" w:rsidRPr="00DE4957">
              <w:rPr>
                <w:rFonts w:ascii="Times New Roman" w:eastAsia="Times New Roman" w:hAnsi="Times New Roman" w:cs="Times New Roman"/>
                <w:iCs/>
                <w:color w:val="000000"/>
                <w:sz w:val="24"/>
                <w:szCs w:val="24"/>
                <w:lang w:eastAsia="hr-HR"/>
              </w:rPr>
              <w:t xml:space="preserve"> ne pridonose značajnom financijskom učinku na gospodarstvo u cjelini niti u pojedinom sektoru/području</w:t>
            </w:r>
            <w:r w:rsidR="00B446E1">
              <w:rPr>
                <w:rFonts w:ascii="Times New Roman" w:eastAsia="Times New Roman" w:hAnsi="Times New Roman" w:cs="Times New Roman"/>
                <w:iCs/>
                <w:color w:val="000000"/>
                <w:sz w:val="24"/>
                <w:szCs w:val="24"/>
                <w:lang w:eastAsia="hr-HR"/>
              </w:rPr>
              <w:t xml:space="preserve"> jer su orijentirane na zadržavanje postojećeg stanja koje isključuje promjenu zakonodavnog okvira i ne doprinosi postizanju ciljeva </w:t>
            </w:r>
            <w:r w:rsidR="00B446E1" w:rsidRPr="00B446E1">
              <w:rPr>
                <w:rFonts w:ascii="Times New Roman" w:eastAsia="Times New Roman" w:hAnsi="Times New Roman" w:cs="Times New Roman"/>
                <w:iCs/>
                <w:color w:val="000000"/>
                <w:sz w:val="24"/>
                <w:szCs w:val="24"/>
                <w:lang w:eastAsia="hr-HR"/>
              </w:rPr>
              <w:t>za ostvarenje strateških reformskih zadataka</w:t>
            </w:r>
            <w:r w:rsidR="000330CB">
              <w:rPr>
                <w:rFonts w:ascii="Times New Roman" w:eastAsia="Times New Roman" w:hAnsi="Times New Roman" w:cs="Times New Roman"/>
                <w:iCs/>
                <w:color w:val="000000"/>
                <w:sz w:val="24"/>
                <w:szCs w:val="24"/>
                <w:lang w:eastAsia="hr-HR"/>
              </w:rPr>
              <w:t xml:space="preserve"> u sustavu zdravstva</w:t>
            </w:r>
            <w:r w:rsidR="00B446E1">
              <w:rPr>
                <w:rFonts w:ascii="Times New Roman" w:eastAsia="Times New Roman" w:hAnsi="Times New Roman" w:cs="Times New Roman"/>
                <w:iCs/>
                <w:color w:val="000000"/>
                <w:sz w:val="24"/>
                <w:szCs w:val="24"/>
                <w:lang w:eastAsia="hr-HR"/>
              </w:rPr>
              <w:t>. Opcij</w:t>
            </w:r>
            <w:r w:rsidR="000330CB">
              <w:rPr>
                <w:rFonts w:ascii="Times New Roman" w:eastAsia="Times New Roman" w:hAnsi="Times New Roman" w:cs="Times New Roman"/>
                <w:iCs/>
                <w:color w:val="000000"/>
                <w:sz w:val="24"/>
                <w:szCs w:val="24"/>
                <w:lang w:eastAsia="hr-HR"/>
              </w:rPr>
              <w:t xml:space="preserve">e 3 i </w:t>
            </w:r>
            <w:r w:rsidR="00B446E1">
              <w:rPr>
                <w:rFonts w:ascii="Times New Roman" w:eastAsia="Times New Roman" w:hAnsi="Times New Roman" w:cs="Times New Roman"/>
                <w:iCs/>
                <w:color w:val="000000"/>
                <w:sz w:val="24"/>
                <w:szCs w:val="24"/>
                <w:lang w:eastAsia="hr-HR"/>
              </w:rPr>
              <w:t xml:space="preserve">4 </w:t>
            </w:r>
            <w:r w:rsidR="000330CB">
              <w:rPr>
                <w:rFonts w:ascii="Times New Roman" w:eastAsia="Times New Roman" w:hAnsi="Times New Roman" w:cs="Times New Roman"/>
                <w:iCs/>
                <w:color w:val="000000"/>
                <w:sz w:val="24"/>
                <w:szCs w:val="24"/>
                <w:lang w:eastAsia="hr-HR"/>
              </w:rPr>
              <w:t>omogućile bi povećane prihode gospodarskim subjektima u okviru normativne regulacije zdravstvenog turizma.</w:t>
            </w:r>
          </w:p>
          <w:p w:rsidR="00984FE1" w:rsidRPr="00984FE1" w:rsidRDefault="00984FE1" w:rsidP="00032C8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984FE1">
              <w:rPr>
                <w:rFonts w:ascii="Times New Roman" w:eastAsia="Times New Roman" w:hAnsi="Times New Roman" w:cs="Times New Roman"/>
                <w:b/>
                <w:iCs/>
                <w:color w:val="000000"/>
                <w:sz w:val="24"/>
                <w:szCs w:val="24"/>
                <w:lang w:eastAsia="hr-HR"/>
              </w:rPr>
              <w:t>- socijalni učinci</w:t>
            </w:r>
            <w:r>
              <w:rPr>
                <w:rFonts w:ascii="Times New Roman" w:eastAsia="Times New Roman" w:hAnsi="Times New Roman" w:cs="Times New Roman"/>
                <w:b/>
                <w:iCs/>
                <w:color w:val="000000"/>
                <w:sz w:val="24"/>
                <w:szCs w:val="24"/>
                <w:lang w:eastAsia="hr-HR"/>
              </w:rPr>
              <w:t>:</w:t>
            </w:r>
            <w:r w:rsidR="000330CB">
              <w:rPr>
                <w:rFonts w:ascii="Times New Roman" w:eastAsia="Times New Roman" w:hAnsi="Times New Roman" w:cs="Times New Roman"/>
                <w:b/>
                <w:iCs/>
                <w:color w:val="000000"/>
                <w:sz w:val="24"/>
                <w:szCs w:val="24"/>
                <w:lang w:eastAsia="hr-HR"/>
              </w:rPr>
              <w:t xml:space="preserve"> </w:t>
            </w:r>
            <w:r w:rsidR="000330CB" w:rsidRPr="000330CB">
              <w:rPr>
                <w:rFonts w:ascii="Times New Roman" w:eastAsia="Times New Roman" w:hAnsi="Times New Roman" w:cs="Times New Roman"/>
                <w:iCs/>
                <w:color w:val="000000"/>
                <w:sz w:val="24"/>
                <w:szCs w:val="24"/>
                <w:lang w:eastAsia="hr-HR"/>
              </w:rPr>
              <w:t xml:space="preserve">opcije 1 i 2 </w:t>
            </w:r>
            <w:r w:rsidR="00B42670">
              <w:rPr>
                <w:rFonts w:ascii="Times New Roman" w:eastAsia="Times New Roman" w:hAnsi="Times New Roman" w:cs="Times New Roman"/>
                <w:iCs/>
                <w:color w:val="000000"/>
                <w:sz w:val="24"/>
                <w:szCs w:val="24"/>
                <w:lang w:eastAsia="hr-HR"/>
              </w:rPr>
              <w:t>nemaju značajan socijalni učinak</w:t>
            </w:r>
            <w:r w:rsidR="000330CB">
              <w:rPr>
                <w:rFonts w:ascii="Times New Roman" w:eastAsia="Times New Roman" w:hAnsi="Times New Roman" w:cs="Times New Roman"/>
                <w:iCs/>
                <w:color w:val="000000"/>
                <w:sz w:val="24"/>
                <w:szCs w:val="24"/>
                <w:lang w:eastAsia="hr-HR"/>
              </w:rPr>
              <w:t>. Opcije 3 i 4 imaju značajan socijalan učinak budući da se izmjenama normativnih rješenja postižu poboljšanja, posebno na području primarne zdravstvene zaštite, organizacije palijativne skrbi te stacionarne zdravstvene zaštite.</w:t>
            </w:r>
          </w:p>
          <w:p w:rsidR="005417FE" w:rsidRPr="00032C86" w:rsidRDefault="00984FE1"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4FE1">
              <w:rPr>
                <w:rFonts w:ascii="Times New Roman" w:eastAsia="Times New Roman" w:hAnsi="Times New Roman" w:cs="Times New Roman"/>
                <w:b/>
                <w:iCs/>
                <w:color w:val="000000"/>
                <w:sz w:val="24"/>
                <w:szCs w:val="24"/>
                <w:lang w:eastAsia="hr-HR"/>
              </w:rPr>
              <w:t>- okolišni učinci</w:t>
            </w:r>
            <w:r>
              <w:rPr>
                <w:rFonts w:ascii="Times New Roman" w:eastAsia="Times New Roman" w:hAnsi="Times New Roman" w:cs="Times New Roman"/>
                <w:b/>
                <w:iCs/>
                <w:color w:val="000000"/>
                <w:sz w:val="24"/>
                <w:szCs w:val="24"/>
                <w:lang w:eastAsia="hr-HR"/>
              </w:rPr>
              <w:t>:</w:t>
            </w:r>
            <w:r w:rsidR="000330CB">
              <w:rPr>
                <w:rFonts w:ascii="Times New Roman" w:eastAsia="Times New Roman" w:hAnsi="Times New Roman" w:cs="Times New Roman"/>
                <w:b/>
                <w:iCs/>
                <w:color w:val="000000"/>
                <w:sz w:val="24"/>
                <w:szCs w:val="24"/>
                <w:lang w:eastAsia="hr-HR"/>
              </w:rPr>
              <w:t xml:space="preserve"> </w:t>
            </w:r>
            <w:r w:rsidR="000330CB" w:rsidRPr="000330CB">
              <w:rPr>
                <w:rFonts w:ascii="Times New Roman" w:eastAsia="Times New Roman" w:hAnsi="Times New Roman" w:cs="Times New Roman"/>
                <w:iCs/>
                <w:color w:val="000000"/>
                <w:sz w:val="24"/>
                <w:szCs w:val="24"/>
                <w:lang w:eastAsia="hr-HR"/>
              </w:rPr>
              <w:t>sve utvrđene opcije nemaju značajan okolišni učinak. Opcije 1 i 2 nemaju okolišni učinak, budući da je fokus na provedbi postojećeg sustava i propisanih obveza. Opcije 3 i 4 predstavljaju promjenu zakonodavnog okvira, što će neutralno djelovati na okolišni učinak.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3"/>
              <w:gridCol w:w="2716"/>
              <w:gridCol w:w="3437"/>
            </w:tblGrid>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Opcije</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Koristi</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Troškovi</w:t>
                  </w:r>
                </w:p>
              </w:tc>
            </w:tr>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233B0" w:rsidRDefault="00032C86" w:rsidP="00B233B0">
                  <w:pPr>
                    <w:spacing w:after="0"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Opcija 1:</w:t>
                  </w:r>
                  <w:r w:rsidRPr="00032C86">
                    <w:rPr>
                      <w:rFonts w:ascii="Times New Roman" w:eastAsia="Times New Roman" w:hAnsi="Times New Roman" w:cs="Times New Roman"/>
                      <w:color w:val="000000"/>
                      <w:sz w:val="24"/>
                      <w:szCs w:val="24"/>
                      <w:lang w:eastAsia="hr-HR"/>
                    </w:rPr>
                    <w:t xml:space="preserve"> </w:t>
                  </w:r>
                </w:p>
                <w:p w:rsidR="00032C86" w:rsidRPr="00B233B0" w:rsidRDefault="00B233B0" w:rsidP="00B233B0">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N</w:t>
                  </w:r>
                  <w:r w:rsidR="00032C86" w:rsidRPr="00B233B0">
                    <w:rPr>
                      <w:rFonts w:ascii="Times New Roman" w:eastAsia="Times New Roman" w:hAnsi="Times New Roman" w:cs="Times New Roman"/>
                      <w:b/>
                      <w:color w:val="000000"/>
                      <w:sz w:val="24"/>
                      <w:szCs w:val="24"/>
                      <w:lang w:eastAsia="hr-HR"/>
                    </w:rPr>
                    <w:t>e poduzimati ništa</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Proporcionalno se ne pridonosi značajnom  financijskom učinku na gospodarstvo u cjelini niti u pojedinom sektoru/području.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Gospodarski učinak je neutralan.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  </w:t>
                  </w:r>
                </w:p>
                <w:p w:rsidR="004D213D" w:rsidRPr="004D213D" w:rsidRDefault="00B42670"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Nema značajan </w:t>
                  </w:r>
                  <w:r w:rsidR="004D213D" w:rsidRPr="004D213D">
                    <w:rPr>
                      <w:rFonts w:ascii="Times New Roman" w:eastAsia="Times New Roman" w:hAnsi="Times New Roman" w:cs="Times New Roman"/>
                      <w:color w:val="000000"/>
                      <w:sz w:val="24"/>
                      <w:szCs w:val="24"/>
                      <w:lang w:eastAsia="hr-HR"/>
                    </w:rPr>
                    <w:t xml:space="preserve">socijalni </w:t>
                  </w:r>
                  <w:r w:rsidR="004D213D" w:rsidRPr="004D213D">
                    <w:rPr>
                      <w:rFonts w:ascii="Times New Roman" w:eastAsia="Times New Roman" w:hAnsi="Times New Roman" w:cs="Times New Roman"/>
                      <w:color w:val="000000"/>
                      <w:sz w:val="24"/>
                      <w:szCs w:val="24"/>
                      <w:lang w:eastAsia="hr-HR"/>
                    </w:rPr>
                    <w:lastRenderedPageBreak/>
                    <w:t xml:space="preserve">učinak.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  </w:t>
                  </w:r>
                </w:p>
                <w:p w:rsidR="00032C86" w:rsidRPr="00032C86"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Opcija nema značajan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Default="00097419" w:rsidP="00032C86">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lastRenderedPageBreak/>
                    <w:t>Proporcionalno se ne pridonosi značajnom  financijskom učinku na gospodarstvo u cjelini niti u pojedinom sektoru/području.</w:t>
                  </w:r>
                  <w:r>
                    <w:rPr>
                      <w:rFonts w:ascii="Times New Roman" w:eastAsia="Times New Roman" w:hAnsi="Times New Roman" w:cs="Times New Roman"/>
                      <w:color w:val="000000"/>
                      <w:sz w:val="24"/>
                      <w:szCs w:val="24"/>
                      <w:lang w:eastAsia="hr-HR"/>
                    </w:rPr>
                    <w:t xml:space="preserve"> </w:t>
                  </w:r>
                </w:p>
                <w:p w:rsidR="00097419" w:rsidRDefault="00097419" w:rsidP="00032C86">
                  <w:pPr>
                    <w:spacing w:after="0" w:line="240" w:lineRule="auto"/>
                    <w:jc w:val="both"/>
                    <w:rPr>
                      <w:rFonts w:ascii="Times New Roman" w:eastAsia="Times New Roman" w:hAnsi="Times New Roman" w:cs="Times New Roman"/>
                      <w:color w:val="000000"/>
                      <w:sz w:val="24"/>
                      <w:szCs w:val="24"/>
                      <w:lang w:eastAsia="hr-HR"/>
                    </w:rPr>
                  </w:pPr>
                </w:p>
                <w:p w:rsidR="00097419" w:rsidRDefault="00097419" w:rsidP="00032C8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Ne ostvaruje se korist zbog povećanih prihoda </w:t>
                  </w:r>
                  <w:r w:rsidRPr="00097419">
                    <w:rPr>
                      <w:rFonts w:ascii="Times New Roman" w:eastAsia="Times New Roman" w:hAnsi="Times New Roman" w:cs="Times New Roman"/>
                      <w:color w:val="000000"/>
                      <w:sz w:val="24"/>
                      <w:szCs w:val="24"/>
                      <w:lang w:eastAsia="hr-HR"/>
                    </w:rPr>
                    <w:t xml:space="preserve">gospodarskim subjektima </w:t>
                  </w:r>
                  <w:r>
                    <w:rPr>
                      <w:rFonts w:ascii="Times New Roman" w:eastAsia="Times New Roman" w:hAnsi="Times New Roman" w:cs="Times New Roman"/>
                      <w:color w:val="000000"/>
                      <w:sz w:val="24"/>
                      <w:szCs w:val="24"/>
                      <w:lang w:eastAsia="hr-HR"/>
                    </w:rPr>
                    <w:t>obavljanjem djelatnosti</w:t>
                  </w:r>
                  <w:r w:rsidRPr="00097419">
                    <w:rPr>
                      <w:rFonts w:ascii="Times New Roman" w:eastAsia="Times New Roman" w:hAnsi="Times New Roman" w:cs="Times New Roman"/>
                      <w:color w:val="000000"/>
                      <w:sz w:val="24"/>
                      <w:szCs w:val="24"/>
                      <w:lang w:eastAsia="hr-HR"/>
                    </w:rPr>
                    <w:t xml:space="preserve"> zdravstvenog turizma</w:t>
                  </w:r>
                  <w:r>
                    <w:rPr>
                      <w:rFonts w:ascii="Times New Roman" w:eastAsia="Times New Roman" w:hAnsi="Times New Roman" w:cs="Times New Roman"/>
                      <w:color w:val="000000"/>
                      <w:sz w:val="24"/>
                      <w:szCs w:val="24"/>
                      <w:lang w:eastAsia="hr-HR"/>
                    </w:rPr>
                    <w:t>.</w:t>
                  </w:r>
                </w:p>
                <w:p w:rsidR="00097419" w:rsidRDefault="00097419" w:rsidP="00032C86">
                  <w:pPr>
                    <w:spacing w:after="0" w:line="240" w:lineRule="auto"/>
                    <w:jc w:val="both"/>
                    <w:rPr>
                      <w:rFonts w:ascii="Times New Roman" w:eastAsia="Times New Roman" w:hAnsi="Times New Roman" w:cs="Times New Roman"/>
                      <w:color w:val="000000"/>
                      <w:sz w:val="24"/>
                      <w:szCs w:val="24"/>
                      <w:lang w:eastAsia="hr-HR"/>
                    </w:rPr>
                  </w:pP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Nema značajan socijalni učinak.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lastRenderedPageBreak/>
                    <w:t xml:space="preserve">  </w:t>
                  </w:r>
                </w:p>
                <w:p w:rsid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Opcija nema značajan okolišni učinak.</w:t>
                  </w:r>
                  <w:r>
                    <w:rPr>
                      <w:rFonts w:ascii="Times New Roman" w:eastAsia="Times New Roman" w:hAnsi="Times New Roman" w:cs="Times New Roman"/>
                      <w:color w:val="000000"/>
                      <w:sz w:val="24"/>
                      <w:szCs w:val="24"/>
                      <w:lang w:eastAsia="hr-HR"/>
                    </w:rPr>
                    <w:t xml:space="preserve"> </w:t>
                  </w:r>
                </w:p>
                <w:p w:rsidR="00097419" w:rsidRPr="00032C86" w:rsidRDefault="00097419" w:rsidP="00032C86">
                  <w:pPr>
                    <w:spacing w:after="0" w:line="240" w:lineRule="auto"/>
                    <w:jc w:val="both"/>
                    <w:rPr>
                      <w:rFonts w:ascii="Times New Roman" w:eastAsia="Times New Roman" w:hAnsi="Times New Roman" w:cs="Times New Roman"/>
                      <w:color w:val="000000"/>
                      <w:sz w:val="24"/>
                      <w:szCs w:val="24"/>
                      <w:lang w:eastAsia="hr-HR"/>
                    </w:rPr>
                  </w:pPr>
                </w:p>
              </w:tc>
            </w:tr>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2670" w:rsidRDefault="00032C86" w:rsidP="00B42670">
                  <w:pPr>
                    <w:spacing w:after="0" w:line="240" w:lineRule="auto"/>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lastRenderedPageBreak/>
                    <w:t>Opcija 2:</w:t>
                  </w:r>
                  <w:r w:rsidRPr="00032C86">
                    <w:rPr>
                      <w:rFonts w:ascii="Times New Roman" w:eastAsia="Times New Roman" w:hAnsi="Times New Roman" w:cs="Times New Roman"/>
                      <w:color w:val="000000"/>
                      <w:sz w:val="24"/>
                      <w:szCs w:val="24"/>
                      <w:lang w:eastAsia="hr-HR"/>
                    </w:rPr>
                    <w:t xml:space="preserve"> </w:t>
                  </w:r>
                </w:p>
                <w:p w:rsidR="00032C86" w:rsidRPr="00B42670" w:rsidRDefault="00B42670" w:rsidP="00B42670">
                  <w:pPr>
                    <w:spacing w:after="0" w:line="240" w:lineRule="auto"/>
                    <w:jc w:val="both"/>
                    <w:rPr>
                      <w:rFonts w:ascii="Times New Roman" w:eastAsia="Times New Roman" w:hAnsi="Times New Roman" w:cs="Times New Roman"/>
                      <w:b/>
                      <w:color w:val="000000"/>
                      <w:sz w:val="24"/>
                      <w:szCs w:val="24"/>
                      <w:lang w:eastAsia="hr-HR"/>
                    </w:rPr>
                  </w:pPr>
                  <w:r w:rsidRPr="00B42670">
                    <w:rPr>
                      <w:rFonts w:ascii="Times New Roman" w:eastAsia="Times New Roman" w:hAnsi="Times New Roman" w:cs="Times New Roman"/>
                      <w:b/>
                      <w:color w:val="000000"/>
                      <w:sz w:val="24"/>
                      <w:szCs w:val="24"/>
                      <w:lang w:eastAsia="hr-HR"/>
                    </w:rPr>
                    <w:t>Rješavanje postavljenih problema i ostvarivanje planiranih ciljeva putem tumačenja zakonskih odredbi i putem uputa, uključujući interne upute</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Proporcionalno se ne pridonosi značajnom  financijskom učinku na gospodarstvo u cjelini niti u pojedinom sektoru/području.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Gospodarski učinak je neutralan.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Nema značajan socijalni učinak.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w:t>
                  </w:r>
                </w:p>
                <w:p w:rsidR="00032C86" w:rsidRPr="00032C86"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Opcija nema značajan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Proporcionalno se ne pridonosi značajnom  financijskom učinku na gospodarstvo u cjelini niti u pojedinom sektoru/području.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Ne ostvaruje se korist zbog povećanih prihoda gospodarskim subjektima obavljanjem djelatnosti zdravstvenog turizma.</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Nema značajan socijalni učinak.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Opcija nema značajan okolišni učinak. </w:t>
                  </w:r>
                </w:p>
                <w:p w:rsidR="00032C86" w:rsidRPr="00032C86" w:rsidRDefault="00032C86" w:rsidP="00032C86">
                  <w:pPr>
                    <w:spacing w:after="0" w:line="240" w:lineRule="auto"/>
                    <w:jc w:val="both"/>
                    <w:rPr>
                      <w:rFonts w:ascii="Times New Roman" w:eastAsia="Times New Roman" w:hAnsi="Times New Roman" w:cs="Times New Roman"/>
                      <w:color w:val="000000"/>
                      <w:sz w:val="24"/>
                      <w:szCs w:val="24"/>
                      <w:lang w:eastAsia="hr-HR"/>
                    </w:rPr>
                  </w:pPr>
                </w:p>
              </w:tc>
            </w:tr>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2670" w:rsidRPr="00B42670" w:rsidRDefault="00032C86" w:rsidP="00B42670">
                  <w:pPr>
                    <w:spacing w:after="0" w:line="240" w:lineRule="auto"/>
                    <w:jc w:val="both"/>
                    <w:rPr>
                      <w:rFonts w:ascii="Times New Roman" w:eastAsia="Times New Roman" w:hAnsi="Times New Roman" w:cs="Times New Roman"/>
                      <w:b/>
                      <w:bCs/>
                      <w:color w:val="000000"/>
                      <w:sz w:val="24"/>
                      <w:szCs w:val="24"/>
                      <w:lang w:eastAsia="hr-HR"/>
                    </w:rPr>
                  </w:pPr>
                  <w:r w:rsidRPr="00B42670">
                    <w:rPr>
                      <w:rFonts w:ascii="Times New Roman" w:eastAsia="Times New Roman" w:hAnsi="Times New Roman" w:cs="Times New Roman"/>
                      <w:b/>
                      <w:bCs/>
                      <w:color w:val="000000"/>
                      <w:sz w:val="24"/>
                      <w:szCs w:val="24"/>
                      <w:lang w:eastAsia="hr-HR"/>
                    </w:rPr>
                    <w:t>Opcija 3:</w:t>
                  </w:r>
                </w:p>
                <w:p w:rsidR="00032C86" w:rsidRPr="00032C86" w:rsidRDefault="00B42670" w:rsidP="00B42670">
                  <w:pPr>
                    <w:spacing w:after="0" w:line="240" w:lineRule="auto"/>
                    <w:jc w:val="both"/>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b/>
                      <w:color w:val="000000"/>
                      <w:sz w:val="24"/>
                      <w:szCs w:val="24"/>
                      <w:lang w:eastAsia="hr-HR"/>
                    </w:rPr>
                    <w:t>Izmjena zakonodavnog okvira u cilju rješavanja postavljenih problema i ostvarivanja planiranih ciljeva</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Default="0014194F" w:rsidP="009905AB">
                  <w:pPr>
                    <w:spacing w:after="0" w:line="240" w:lineRule="auto"/>
                    <w:rPr>
                      <w:rFonts w:ascii="Times New Roman" w:eastAsia="Times New Roman" w:hAnsi="Times New Roman" w:cs="Times New Roman"/>
                      <w:color w:val="000000"/>
                      <w:sz w:val="24"/>
                      <w:szCs w:val="24"/>
                      <w:lang w:eastAsia="hr-HR"/>
                    </w:rPr>
                  </w:pPr>
                  <w:r w:rsidRPr="0014194F">
                    <w:rPr>
                      <w:rFonts w:ascii="Times New Roman" w:eastAsia="Times New Roman" w:hAnsi="Times New Roman" w:cs="Times New Roman"/>
                      <w:color w:val="000000"/>
                      <w:sz w:val="24"/>
                      <w:szCs w:val="24"/>
                      <w:lang w:eastAsia="hr-HR"/>
                    </w:rPr>
                    <w:t>Sveobuhvatno i jednoobrazno rješavanje problema.</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Default="0014194F" w:rsidP="009905AB">
                  <w:pPr>
                    <w:spacing w:after="0" w:line="240" w:lineRule="auto"/>
                    <w:rPr>
                      <w:rFonts w:ascii="Times New Roman" w:eastAsia="Times New Roman" w:hAnsi="Times New Roman" w:cs="Times New Roman"/>
                      <w:color w:val="000000"/>
                      <w:sz w:val="24"/>
                      <w:szCs w:val="24"/>
                      <w:lang w:eastAsia="hr-HR"/>
                    </w:rPr>
                  </w:pPr>
                  <w:r w:rsidRPr="0014194F">
                    <w:rPr>
                      <w:rFonts w:ascii="Times New Roman" w:eastAsia="Times New Roman" w:hAnsi="Times New Roman" w:cs="Times New Roman"/>
                      <w:color w:val="000000"/>
                      <w:sz w:val="24"/>
                      <w:szCs w:val="24"/>
                      <w:lang w:eastAsia="hr-HR"/>
                    </w:rPr>
                    <w:t xml:space="preserve">Proporcionalno se pridonosi djelomično značajnom  financijskom učinku na gospodarstvo u cjelini i </w:t>
                  </w:r>
                  <w:r>
                    <w:rPr>
                      <w:rFonts w:ascii="Times New Roman" w:eastAsia="Times New Roman" w:hAnsi="Times New Roman" w:cs="Times New Roman"/>
                      <w:color w:val="000000"/>
                      <w:sz w:val="24"/>
                      <w:szCs w:val="24"/>
                      <w:lang w:eastAsia="hr-HR"/>
                    </w:rPr>
                    <w:t>na području turizma</w:t>
                  </w:r>
                  <w:r w:rsidRPr="001419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Omogućava povećane prihode gospodarskim subjektima u okviru normativne regulacije zdravstvenog turizma.</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Default="0014194F"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Gospodarski učinak je značajan.</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Default="0014194F"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ima</w:t>
                  </w:r>
                  <w:r w:rsidRPr="0014194F">
                    <w:rPr>
                      <w:rFonts w:ascii="Times New Roman" w:eastAsia="Times New Roman" w:hAnsi="Times New Roman" w:cs="Times New Roman"/>
                      <w:color w:val="000000"/>
                      <w:sz w:val="24"/>
                      <w:szCs w:val="24"/>
                      <w:lang w:eastAsia="hr-HR"/>
                    </w:rPr>
                    <w:t xml:space="preserve"> značajan socijalan učinak budući da se izmjenama normativnih rješenja postižu poboljšanja, posebno na području primarne zdravstvene zaštite, organizacije palijativne skrbi te stacionarne zdravstvene zaštite.</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Pr="00032C86" w:rsidRDefault="0014194F"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predstavlja</w:t>
                  </w:r>
                  <w:r w:rsidRPr="0014194F">
                    <w:rPr>
                      <w:rFonts w:ascii="Times New Roman" w:eastAsia="Times New Roman" w:hAnsi="Times New Roman" w:cs="Times New Roman"/>
                      <w:color w:val="000000"/>
                      <w:sz w:val="24"/>
                      <w:szCs w:val="24"/>
                      <w:lang w:eastAsia="hr-HR"/>
                    </w:rPr>
                    <w:t xml:space="preserve"> promjenu zakonodavnog okvira, što će neutralno djelovati na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34487" w:rsidRDefault="00C34487" w:rsidP="0009741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Primjena ove opcije zahtijevat će kratkoročno viši fiskalni pritisak na državni proračun zbog redefiniranja djelatnosti pojedinih zdravstvenih zavoda, odnosno zbog osnivanja zavoda za transplantaciju i biomedicinu.</w:t>
                  </w:r>
                </w:p>
                <w:p w:rsidR="00097419" w:rsidRDefault="00097419" w:rsidP="00097419">
                  <w:pPr>
                    <w:spacing w:after="0" w:line="240" w:lineRule="auto"/>
                    <w:jc w:val="both"/>
                    <w:rPr>
                      <w:rFonts w:ascii="Times New Roman" w:eastAsia="Times New Roman" w:hAnsi="Times New Roman" w:cs="Times New Roman"/>
                      <w:color w:val="000000"/>
                      <w:sz w:val="24"/>
                      <w:szCs w:val="24"/>
                      <w:lang w:eastAsia="hr-HR"/>
                    </w:rPr>
                  </w:pPr>
                </w:p>
                <w:p w:rsidR="00097419" w:rsidRDefault="008624A9" w:rsidP="0009741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nema negativni socijalni učinak.</w:t>
                  </w:r>
                </w:p>
                <w:p w:rsidR="008624A9" w:rsidRPr="00097419" w:rsidRDefault="008624A9" w:rsidP="00097419">
                  <w:pPr>
                    <w:spacing w:after="0" w:line="240" w:lineRule="auto"/>
                    <w:jc w:val="both"/>
                    <w:rPr>
                      <w:rFonts w:ascii="Times New Roman" w:eastAsia="Times New Roman" w:hAnsi="Times New Roman" w:cs="Times New Roman"/>
                      <w:color w:val="000000"/>
                      <w:sz w:val="24"/>
                      <w:szCs w:val="24"/>
                      <w:lang w:eastAsia="hr-HR"/>
                    </w:rPr>
                  </w:pPr>
                </w:p>
                <w:p w:rsid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Opcija nema značajan okolišni učinak.</w:t>
                  </w:r>
                  <w:r>
                    <w:rPr>
                      <w:rFonts w:ascii="Times New Roman" w:eastAsia="Times New Roman" w:hAnsi="Times New Roman" w:cs="Times New Roman"/>
                      <w:color w:val="000000"/>
                      <w:sz w:val="24"/>
                      <w:szCs w:val="24"/>
                      <w:lang w:eastAsia="hr-HR"/>
                    </w:rPr>
                    <w:t xml:space="preserve"> </w:t>
                  </w:r>
                </w:p>
                <w:p w:rsidR="00032C86" w:rsidRPr="00032C86" w:rsidRDefault="00032C86" w:rsidP="00032C86">
                  <w:pPr>
                    <w:spacing w:after="0" w:line="240" w:lineRule="auto"/>
                    <w:jc w:val="both"/>
                    <w:rPr>
                      <w:rFonts w:ascii="Times New Roman" w:eastAsia="Times New Roman" w:hAnsi="Times New Roman" w:cs="Times New Roman"/>
                      <w:color w:val="000000"/>
                      <w:sz w:val="24"/>
                      <w:szCs w:val="24"/>
                      <w:lang w:eastAsia="hr-HR"/>
                    </w:rPr>
                  </w:pPr>
                </w:p>
              </w:tc>
            </w:tr>
            <w:tr w:rsidR="008624A9"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lastRenderedPageBreak/>
                    <w:t>Opcija 4:</w:t>
                  </w:r>
                  <w:r w:rsidRPr="00032C86">
                    <w:rPr>
                      <w:rFonts w:ascii="Times New Roman" w:eastAsia="Times New Roman" w:hAnsi="Times New Roman" w:cs="Times New Roman"/>
                      <w:color w:val="000000"/>
                      <w:sz w:val="24"/>
                      <w:szCs w:val="24"/>
                      <w:lang w:eastAsia="hr-HR"/>
                    </w:rPr>
                    <w:t xml:space="preserve"> </w:t>
                  </w:r>
                </w:p>
                <w:p w:rsidR="008624A9" w:rsidRPr="00032C86" w:rsidRDefault="008624A9" w:rsidP="008624A9">
                  <w:pPr>
                    <w:spacing w:after="0" w:line="240" w:lineRule="auto"/>
                    <w:jc w:val="both"/>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b/>
                      <w:color w:val="000000"/>
                      <w:sz w:val="24"/>
                      <w:szCs w:val="24"/>
                      <w:lang w:eastAsia="hr-HR"/>
                    </w:rPr>
                    <w:t>Donošenje novog Zakona o zdravstvenoj zaštiti</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Sveobuhvatno i jednoobrazno rješavanje problema.</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Proporcionalno se pridonosi djelomično značajnom  financijskom učinku na gospodarstvo u cjelini i na području turizma. Omogućava povećane prihode gospodarskim subjektima u okviru normativne regulacije zdravstvenog turizma.</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Gospodarski učinak je značajan.</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Opcija ima značajan socijalan učinak budući da se izmjenama normativnih rješenja postižu poboljšanja, posebno na području primarne zdravstvene zaštite, organizacije palijativne skrbi te stacionarne zdravstvene zaštite.</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032C86"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Opcija predstavlja promjenu zakonodavnog okvira, što će neutralno djelovati na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Primjena ove opcije zahtijevat će kratkoročno viši fiskalni pritisak na državni proračun zbog redefiniranja djelatnosti pojedinih zdravstvenih zavoda, odnosno zbog osnivanja zavoda za transplantaciju i biomedicinu.</w:t>
                  </w:r>
                </w:p>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p>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nema negativni socijalni učinak.</w:t>
                  </w:r>
                </w:p>
                <w:p w:rsidR="008624A9" w:rsidRPr="00097419" w:rsidRDefault="008624A9" w:rsidP="008624A9">
                  <w:pPr>
                    <w:spacing w:after="0" w:line="240" w:lineRule="auto"/>
                    <w:jc w:val="both"/>
                    <w:rPr>
                      <w:rFonts w:ascii="Times New Roman" w:eastAsia="Times New Roman" w:hAnsi="Times New Roman" w:cs="Times New Roman"/>
                      <w:color w:val="000000"/>
                      <w:sz w:val="24"/>
                      <w:szCs w:val="24"/>
                      <w:lang w:eastAsia="hr-HR"/>
                    </w:rPr>
                  </w:pPr>
                </w:p>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Opcija nema značajan okolišni učinak.</w:t>
                  </w:r>
                  <w:r>
                    <w:rPr>
                      <w:rFonts w:ascii="Times New Roman" w:eastAsia="Times New Roman" w:hAnsi="Times New Roman" w:cs="Times New Roman"/>
                      <w:color w:val="000000"/>
                      <w:sz w:val="24"/>
                      <w:szCs w:val="24"/>
                      <w:lang w:eastAsia="hr-HR"/>
                    </w:rPr>
                    <w:t xml:space="preserve"> </w:t>
                  </w:r>
                </w:p>
                <w:p w:rsidR="008624A9" w:rsidRPr="00032C86" w:rsidRDefault="008624A9" w:rsidP="008624A9">
                  <w:pPr>
                    <w:spacing w:after="0" w:line="240" w:lineRule="auto"/>
                    <w:jc w:val="both"/>
                    <w:rPr>
                      <w:rFonts w:ascii="Times New Roman" w:eastAsia="Times New Roman" w:hAnsi="Times New Roman" w:cs="Times New Roman"/>
                      <w:color w:val="000000"/>
                      <w:sz w:val="24"/>
                      <w:szCs w:val="24"/>
                      <w:lang w:eastAsia="hr-HR"/>
                    </w:rPr>
                  </w:pPr>
                </w:p>
              </w:tc>
            </w:tr>
          </w:tbl>
          <w:p w:rsidR="00032C86" w:rsidRPr="00032C86" w:rsidRDefault="00032C86" w:rsidP="00032C86">
            <w:pPr>
              <w:spacing w:after="0" w:line="240" w:lineRule="auto"/>
              <w:jc w:val="both"/>
              <w:rPr>
                <w:rFonts w:ascii="Times New Roman" w:eastAsia="Times New Roman" w:hAnsi="Times New Roman" w:cs="Times New Roman"/>
                <w:color w:val="000000"/>
                <w:sz w:val="24"/>
                <w:szCs w:val="24"/>
                <w:lang w:eastAsia="hr-HR"/>
              </w:rPr>
            </w:pPr>
          </w:p>
        </w:tc>
      </w:tr>
    </w:tbl>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lastRenderedPageBreak/>
        <w:t>UPUTA: Ovaj dio Iskaza popunjava se pri ažuriranju Nacrta prijedloga iskaza, a nakon provedenog savjetovanja i ponovno se ažurira nakon javne rasprave kod izrade Prijedloga iskaza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5. SAVJETOVANJE</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i/>
                <w:iCs/>
                <w:color w:val="000000"/>
                <w:sz w:val="24"/>
                <w:szCs w:val="24"/>
                <w:lang w:eastAsia="hr-HR"/>
              </w:rPr>
              <w:lastRenderedPageBreak/>
              <w:t>[Savjetovanje se provodi u trajanju od 30 dana, a po potrebi i ovisno o složenosti materije, i duže objavom na internetskoj stranici. Tijekom savjetovanja potrebno je provesti jedno ili više javnih izlaganja materije koja je predmet savjetovanja neposrednim kontaktom s dionicima putem okruglog stola i sl.</w:t>
            </w:r>
          </w:p>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i/>
                <w:iCs/>
                <w:color w:val="000000"/>
                <w:sz w:val="24"/>
                <w:szCs w:val="24"/>
                <w:lang w:eastAsia="hr-HR"/>
              </w:rPr>
              <w:t>Sažetak postupka savjetovanja s javnošću potrebno je iznijeti na jasan način i s točnim datumima početka i završetka savjetovanja, kao i datume provedenog okruglog stola i sl.. Potrebno je navesti broj ukupno zaprimljenih mišljenja, primjedbi i prijedloga koji su pristigli pisanim putem u vrijeme savjetovanja te broj prihvaćenih komentara na Prijedlog iskaza odnosno na prijedlog propisa. Potrebno je navesti sveukupni broj zaprimljenih mišljenja, primjedbi i prijedloga. Sve se odgovarajuće primjenjuje i na javnu raspravu.]</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6. PREPORUČENA OPCIJA</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i/>
                <w:iCs/>
                <w:color w:val="000000"/>
                <w:sz w:val="24"/>
                <w:szCs w:val="24"/>
                <w:lang w:eastAsia="hr-HR"/>
              </w:rPr>
              <w:t>[Kratko i sažeto prezentirajte ukupne rezultate provedenog postupka procjene učinaka propisa. Ukratko zaokružite analizu koristi i troškova za sve opcije, imajući u vidu rezultate analize i provedeno savjetovanja. Na temelju svega izloženog u postupku procjene učinaka propisa sažeto preporučite opciju koja dovodi do rješenja za utvrđeni problem tako što donosi najviše ukupnih koristi u odnosu na ukupne troškove opcija.</w:t>
            </w:r>
          </w:p>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i/>
                <w:iCs/>
                <w:color w:val="000000"/>
                <w:sz w:val="24"/>
                <w:szCs w:val="24"/>
                <w:lang w:eastAsia="hr-HR"/>
              </w:rPr>
              <w:t>PREPORUČENA OPCIJA:</w:t>
            </w:r>
          </w:p>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i/>
                <w:iCs/>
                <w:color w:val="000000"/>
                <w:sz w:val="24"/>
                <w:szCs w:val="24"/>
                <w:lang w:eastAsia="hr-HR"/>
              </w:rPr>
              <w:t>Temeljni kriterij za odabir opcije je da ukupne neto koristi premašuju ukupne neto troškove. Preporučena opcija mora se objektivno temeljiti na prethodnoj izvršenoj analizi i prikupljenim podacima.]</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7. PRAĆENJE PROVEDBE I EVALUACIJA</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i/>
                <w:iCs/>
                <w:color w:val="000000"/>
                <w:sz w:val="24"/>
                <w:szCs w:val="24"/>
                <w:lang w:eastAsia="hr-HR"/>
              </w:rPr>
              <w:t>[Za preporučenu opciju potrebno je sažeto navesti kratki pregled postupka provedbe, utvrditi osnovne indikatore za praćenje provedbe (osnovne pokazatelje uspješnosti), utvrditi osnovne indikatore za evaluaciju provedbe. Ukoliko do sada nije bilo dostupnih podataka, odnosno podaci nisu bili cjeloviti ili se nisu prikupljali na dobar način, kroz praćenje provedbe preporučene opcije moguće je utvrditi osnovne indikatore na temelju kojih će se podaci početi prikupljati. Za preporučenu opciju potrebno je sažeto opisati način provedbe opcije, navesti tijela odnosno institucije koje bi provodile opciju. Ključno je predvidjeti tko, na koji način i u kojem vremenskom okviru provodi preporučenu opciju. Sažeto i jasno navedite vremenske rokove provedbe i glavne rezultate provedbe kako bi se omogućilo kontinuirano praćenje provedbe, kao i naknadna evaluacija provedbe opcija.]</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 xml:space="preserve">8. PRILOZI </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87A68" w:rsidRPr="00787A68" w:rsidRDefault="00787A68" w:rsidP="00787A6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787A68">
              <w:rPr>
                <w:rFonts w:ascii="Times New Roman" w:eastAsia="Times New Roman" w:hAnsi="Times New Roman" w:cs="Times New Roman"/>
                <w:b/>
                <w:sz w:val="24"/>
                <w:szCs w:val="24"/>
                <w:lang w:val="en-US" w:eastAsia="hr-HR"/>
              </w:rPr>
              <w:t>TEZE</w:t>
            </w:r>
            <w:r w:rsidRPr="00787A68">
              <w:rPr>
                <w:rFonts w:ascii="Times New Roman" w:eastAsia="Times New Roman" w:hAnsi="Times New Roman" w:cs="Times New Roman"/>
                <w:b/>
                <w:bCs/>
                <w:color w:val="000000"/>
                <w:sz w:val="24"/>
                <w:szCs w:val="24"/>
                <w:lang w:eastAsia="hr-HR"/>
              </w:rPr>
              <w:t xml:space="preserve"> ZA ZAKON O ZDRAVSTVENOJ ZAŠTITI</w:t>
            </w:r>
          </w:p>
          <w:p w:rsidR="00787A68" w:rsidRPr="00A55BE8" w:rsidRDefault="00787A68" w:rsidP="00787A68">
            <w:pPr>
              <w:spacing w:before="100" w:beforeAutospacing="1" w:after="100" w:afterAutospacing="1" w:line="240" w:lineRule="auto"/>
              <w:rPr>
                <w:rFonts w:ascii="Times New Roman" w:eastAsia="Times New Roman" w:hAnsi="Times New Roman" w:cs="Times New Roman"/>
                <w:sz w:val="24"/>
                <w:szCs w:val="24"/>
                <w:lang w:eastAsia="hr-HR"/>
              </w:rPr>
            </w:pPr>
            <w:r w:rsidRPr="00A55BE8">
              <w:rPr>
                <w:rFonts w:ascii="Times New Roman" w:eastAsia="Times New Roman" w:hAnsi="Times New Roman" w:cs="Times New Roman"/>
                <w:sz w:val="24"/>
                <w:szCs w:val="24"/>
                <w:lang w:eastAsia="hr-HR"/>
              </w:rPr>
              <w:t>Materija koja se namjerava obuhvatiti novim Zakonom o zdravstvenoj zaštiti:</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 OPĆE ODREDBE</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II. ZDRAVSTVENA ZAŠTITA</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III. ZDRAVSTVENA DJELATNOST</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IV. ZDRAVSTVENI TURIZAM</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V. SADRŽAJ I ORGANIZACIJSKI OBLICI ZDRAVSTVENE DJELATNOSTI</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VI. KONCESIJA ZA OBAVLJANJE JAVNE ZDRAVSTVENE SLUŽBE</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VII. OSNIVANJE I ORGANIZIRANJE ZDRAVSTVENIH USTANOVA</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lastRenderedPageBreak/>
              <w:t>VIII. ZDRAVSTVENE USTANOVE NA PRIMARNOJ RAZINI ZDRAVSTVENE DJELATNOSTI</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IX. ZDRAVSTVENE USTANOVE NA SEKUNDARNOJ RAZINI ZDRAVSTVENE DJELATNOSTI</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 ZDRAVSTVENE USTANOVE NA TERCIJARNOJ RAZINI ZDRAVSTVENE DJELATNOSTI</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XI. ZDRAVSTVENI ZAVODI</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XII. REFERENTNI CENTAR MINISTARSTVA</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XIII. NACIONALNO ZDRAVSTVENO VIJEĆE</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XIV. TRGOVAČKO DRUŠTVO ZA OBAVLJANJE ZDRAVSTVENE DJELATNOSTI</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XV. ZDRAVSTVENI RADNICI</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XVI. PRIVATNA PRAKSA</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XVII. ORGANIZIRANJE RADA I RADNO VRIJEME U MREŽI JAVNE ZDRAVSTVENE SLUŽBE</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XVIII. NADZOR</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XIX. UTVRĐIVANJE UZROKA SMRTI I OBDUKCIJA</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XX. KOMORE</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XXI. PREKRŠAJNE ODREDBE</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XXII. PRIJELAZNE I ZAVRŠNE ODREDBE.</w:t>
            </w:r>
            <w:r w:rsidRPr="00A55BE8">
              <w:rPr>
                <w:rFonts w:ascii="Times New Roman" w:hAnsi="Times New Roman" w:cs="Times New Roman"/>
                <w:sz w:val="24"/>
                <w:szCs w:val="24"/>
              </w:rPr>
              <w:tab/>
            </w:r>
          </w:p>
          <w:p w:rsidR="00787A68" w:rsidRPr="00A55BE8" w:rsidRDefault="00787A68" w:rsidP="00787A68">
            <w:pPr>
              <w:spacing w:before="100" w:beforeAutospacing="1" w:after="270" w:line="240" w:lineRule="auto"/>
              <w:jc w:val="both"/>
              <w:rPr>
                <w:rFonts w:ascii="Times New Roman" w:eastAsia="Times New Roman" w:hAnsi="Times New Roman" w:cs="Times New Roman"/>
                <w:sz w:val="24"/>
                <w:szCs w:val="24"/>
                <w:lang w:eastAsia="hr-HR"/>
              </w:rPr>
            </w:pPr>
            <w:r w:rsidRPr="00A55BE8">
              <w:rPr>
                <w:rFonts w:ascii="Times New Roman" w:eastAsia="Times New Roman" w:hAnsi="Times New Roman" w:cs="Times New Roman"/>
                <w:sz w:val="24"/>
                <w:szCs w:val="24"/>
                <w:lang w:eastAsia="hr-HR"/>
              </w:rPr>
              <w:t>Definiraju se načela zdravstvene zaštite.</w:t>
            </w:r>
          </w:p>
          <w:p w:rsidR="00787A68" w:rsidRPr="00A55BE8" w:rsidRDefault="00787A68" w:rsidP="00787A6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BE8">
              <w:rPr>
                <w:rFonts w:ascii="Times New Roman" w:hAnsi="Times New Roman" w:cs="Times New Roman"/>
                <w:sz w:val="24"/>
                <w:szCs w:val="24"/>
              </w:rPr>
              <w:t>Određuje se</w:t>
            </w:r>
            <w:r w:rsidRPr="00A55BE8">
              <w:rPr>
                <w:rFonts w:ascii="Times New Roman" w:eastAsia="Times New Roman" w:hAnsi="Times New Roman" w:cs="Times New Roman"/>
                <w:color w:val="000000"/>
                <w:sz w:val="24"/>
                <w:szCs w:val="24"/>
                <w:lang w:eastAsia="hr-HR"/>
              </w:rPr>
              <w:t xml:space="preserve"> uloga </w:t>
            </w:r>
            <w:r w:rsidRPr="00A55BE8">
              <w:rPr>
                <w:rFonts w:ascii="Times New Roman" w:hAnsi="Times New Roman" w:cs="Times New Roman"/>
                <w:sz w:val="24"/>
                <w:szCs w:val="24"/>
              </w:rPr>
              <w:t xml:space="preserve">doma zdravlja na području razvoja zdravstvene zaštite u zajednici. </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Jača se uloge primarne zdravstvene zaštite i preventivne zdravstvene zaštite.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Učinkovito upravljanje ljudskim potencijalima u zdravstvu.</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Reorganizira se djelatnost hitne medicine.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Jačaju se dnevne bolnice.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Reorganizira se sustav bolničke zdravstvene zaštite.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Uvodi se Nacionalni registar pružatelja zdravstvene zaštite koji će obuhvaćati sve zdravstvene ustanove i privatne zdravstvene radnike koji obavljaju zdravstvenu djelatnost.</w:t>
            </w:r>
          </w:p>
          <w:p w:rsidR="00787A68" w:rsidRPr="00A55BE8" w:rsidRDefault="00787A68" w:rsidP="00787A68">
            <w:pPr>
              <w:spacing w:line="240" w:lineRule="auto"/>
              <w:jc w:val="both"/>
              <w:rPr>
                <w:rFonts w:ascii="Times New Roman" w:hAnsi="Times New Roman" w:cs="Times New Roman"/>
                <w:strike/>
                <w:sz w:val="24"/>
                <w:szCs w:val="24"/>
              </w:rPr>
            </w:pPr>
            <w:r w:rsidRPr="00A55BE8">
              <w:rPr>
                <w:rFonts w:ascii="Times New Roman" w:hAnsi="Times New Roman" w:cs="Times New Roman"/>
                <w:sz w:val="24"/>
                <w:szCs w:val="24"/>
              </w:rPr>
              <w:t xml:space="preserve">Regulira se zdravstveni turizam, njegovi oblici i pružatelji. </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 xml:space="preserve">Regulira se djelatnost palijativne skrbi i </w:t>
            </w:r>
            <w:r w:rsidRPr="00A55BE8">
              <w:rPr>
                <w:rFonts w:ascii="Times New Roman" w:eastAsia="Times New Roman" w:hAnsi="Times New Roman" w:cs="Times New Roman"/>
                <w:color w:val="000000"/>
                <w:sz w:val="24"/>
                <w:szCs w:val="24"/>
                <w:lang w:eastAsia="hr-HR"/>
              </w:rPr>
              <w:t>razine zdravstvene djelatnosti na kojoj se pruža.</w:t>
            </w:r>
            <w:r w:rsidRPr="00A55BE8">
              <w:rPr>
                <w:rFonts w:ascii="Times New Roman" w:hAnsi="Times New Roman" w:cs="Times New Roman"/>
                <w:sz w:val="24"/>
                <w:szCs w:val="24"/>
              </w:rPr>
              <w:t xml:space="preserve"> </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Redefiniraju se djelatnosti pojedinih zdravstvenih zavoda.</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 xml:space="preserve">Regulira se provođenje upravnog nadzora nad provedbom zakona i drugih propisa te zakonitošću rada i postupanja komora i drugih pravnih osoba kojima su dane javne ovlasti u zdravstvenoj djelatnosti. </w:t>
            </w:r>
          </w:p>
          <w:p w:rsidR="00032C86" w:rsidRPr="00787A68" w:rsidRDefault="00787A68" w:rsidP="00787A68">
            <w:pPr>
              <w:spacing w:after="0" w:line="240" w:lineRule="auto"/>
              <w:jc w:val="both"/>
              <w:rPr>
                <w:rFonts w:ascii="Times New Roman" w:eastAsia="Times New Roman" w:hAnsi="Times New Roman" w:cs="Times New Roman"/>
                <w:color w:val="000000"/>
                <w:sz w:val="27"/>
                <w:szCs w:val="27"/>
                <w:lang w:eastAsia="hr-HR"/>
              </w:rPr>
            </w:pPr>
            <w:r w:rsidRPr="00A55BE8">
              <w:rPr>
                <w:rFonts w:ascii="Times New Roman" w:eastAsia="Times New Roman" w:hAnsi="Times New Roman" w:cs="Times New Roman"/>
                <w:color w:val="000000"/>
                <w:sz w:val="24"/>
                <w:szCs w:val="24"/>
                <w:lang w:eastAsia="hr-HR"/>
              </w:rPr>
              <w:t>Budući se donošenjem novog Zakona o zdravstvenoj zaštiti stavlja izvan snage Zakon o zdravstvenoj zaštiti („Narodne novine“, broj 150/08, 71/10, 139/10, 22/11, 84/11, 12/12, 35/12, 70/12, 82/13, 22/14 i 154/14)</w:t>
            </w:r>
            <w:r w:rsidRPr="00A55BE8">
              <w:rPr>
                <w:sz w:val="24"/>
                <w:szCs w:val="24"/>
              </w:rPr>
              <w:t xml:space="preserve"> </w:t>
            </w:r>
            <w:r w:rsidRPr="00A55BE8">
              <w:rPr>
                <w:rFonts w:ascii="Times New Roman" w:eastAsia="Times New Roman" w:hAnsi="Times New Roman" w:cs="Times New Roman"/>
                <w:color w:val="000000"/>
                <w:sz w:val="24"/>
                <w:szCs w:val="24"/>
                <w:lang w:eastAsia="hr-HR"/>
              </w:rPr>
              <w:t xml:space="preserve">u novi Zakon o zdravstvenoj zaštiti ugradit će se odredbe sljedećih Direktiva: Direktiva 2005/36/EZ Europskog parlamenta i Vijeća od 7. rujna 2005. o priznavanju stručnih kvalifikacija (SL L 255, 4.4.2008.), Direktiva 2011/24/EU Europskog </w:t>
            </w:r>
            <w:r w:rsidRPr="00A55BE8">
              <w:rPr>
                <w:rFonts w:ascii="Times New Roman" w:eastAsia="Times New Roman" w:hAnsi="Times New Roman" w:cs="Times New Roman"/>
                <w:color w:val="000000"/>
                <w:sz w:val="24"/>
                <w:szCs w:val="24"/>
                <w:lang w:eastAsia="hr-HR"/>
              </w:rPr>
              <w:lastRenderedPageBreak/>
              <w:t>parlamenta i Vijeća od 9. ožujka 2011. o primjeni prava pacijenata u prekograničnoj zdravstvenoj zaštiti (SL L 88, 4.4.2011.), te Direktiva Vijeća 2010/32/EU od 10. svibnja 2010. o provođenju Okvirnog sporazuma o sprječavanju ozljeda oštrim predmetima u bolničkom sektoru i zdravstvu koji su sklopili HOSPEEM i EPSU (SL L 134, 1.6.2010.).</w:t>
            </w:r>
          </w:p>
        </w:tc>
      </w:tr>
    </w:tbl>
    <w:p w:rsidR="00451900" w:rsidRDefault="00451900"/>
    <w:sectPr w:rsidR="00451900" w:rsidSect="00AA4ECA">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53" w:rsidRDefault="00066853" w:rsidP="00AA4ECA">
      <w:pPr>
        <w:spacing w:after="0" w:line="240" w:lineRule="auto"/>
      </w:pPr>
      <w:r>
        <w:separator/>
      </w:r>
    </w:p>
  </w:endnote>
  <w:endnote w:type="continuationSeparator" w:id="0">
    <w:p w:rsidR="00066853" w:rsidRDefault="00066853" w:rsidP="00AA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838652"/>
      <w:docPartObj>
        <w:docPartGallery w:val="Page Numbers (Bottom of Page)"/>
        <w:docPartUnique/>
      </w:docPartObj>
    </w:sdtPr>
    <w:sdtEndPr/>
    <w:sdtContent>
      <w:p w:rsidR="009905AB" w:rsidRDefault="009905AB">
        <w:pPr>
          <w:pStyle w:val="Podnoje"/>
          <w:jc w:val="right"/>
        </w:pPr>
        <w:r>
          <w:fldChar w:fldCharType="begin"/>
        </w:r>
        <w:r>
          <w:instrText>PAGE   \* MERGEFORMAT</w:instrText>
        </w:r>
        <w:r>
          <w:fldChar w:fldCharType="separate"/>
        </w:r>
        <w:r w:rsidR="00F51AC9">
          <w:rPr>
            <w:noProof/>
          </w:rPr>
          <w:t>2</w:t>
        </w:r>
        <w:r>
          <w:fldChar w:fldCharType="end"/>
        </w:r>
      </w:p>
    </w:sdtContent>
  </w:sdt>
  <w:p w:rsidR="009905AB" w:rsidRDefault="009905A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53" w:rsidRDefault="00066853" w:rsidP="00AA4ECA">
      <w:pPr>
        <w:spacing w:after="0" w:line="240" w:lineRule="auto"/>
      </w:pPr>
      <w:r>
        <w:separator/>
      </w:r>
    </w:p>
  </w:footnote>
  <w:footnote w:type="continuationSeparator" w:id="0">
    <w:p w:rsidR="00066853" w:rsidRDefault="00066853" w:rsidP="00AA4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691B"/>
    <w:multiLevelType w:val="hybridMultilevel"/>
    <w:tmpl w:val="1270B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537BE8"/>
    <w:multiLevelType w:val="hybridMultilevel"/>
    <w:tmpl w:val="F6629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81C14F3"/>
    <w:multiLevelType w:val="hybridMultilevel"/>
    <w:tmpl w:val="CBD08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86"/>
    <w:rsid w:val="00005B66"/>
    <w:rsid w:val="000238CF"/>
    <w:rsid w:val="00032C86"/>
    <w:rsid w:val="000330CB"/>
    <w:rsid w:val="00050136"/>
    <w:rsid w:val="00066853"/>
    <w:rsid w:val="00097419"/>
    <w:rsid w:val="000A086E"/>
    <w:rsid w:val="000A40FB"/>
    <w:rsid w:val="000B3F4B"/>
    <w:rsid w:val="000B7231"/>
    <w:rsid w:val="000C056A"/>
    <w:rsid w:val="001127F9"/>
    <w:rsid w:val="0014194F"/>
    <w:rsid w:val="00171579"/>
    <w:rsid w:val="001754F7"/>
    <w:rsid w:val="001C6D9E"/>
    <w:rsid w:val="001D353A"/>
    <w:rsid w:val="001D39FC"/>
    <w:rsid w:val="002654A0"/>
    <w:rsid w:val="00274DAD"/>
    <w:rsid w:val="002A2A35"/>
    <w:rsid w:val="002C1516"/>
    <w:rsid w:val="002C7E12"/>
    <w:rsid w:val="002D666C"/>
    <w:rsid w:val="00311681"/>
    <w:rsid w:val="003158E9"/>
    <w:rsid w:val="003323FF"/>
    <w:rsid w:val="003B10E3"/>
    <w:rsid w:val="003C02C1"/>
    <w:rsid w:val="003C24D1"/>
    <w:rsid w:val="003F2E56"/>
    <w:rsid w:val="004017CB"/>
    <w:rsid w:val="00432F11"/>
    <w:rsid w:val="00451900"/>
    <w:rsid w:val="00497624"/>
    <w:rsid w:val="004B3B64"/>
    <w:rsid w:val="004B6EE1"/>
    <w:rsid w:val="004C3249"/>
    <w:rsid w:val="004D213D"/>
    <w:rsid w:val="004D6DE3"/>
    <w:rsid w:val="004F0754"/>
    <w:rsid w:val="004F4DA1"/>
    <w:rsid w:val="00506FB7"/>
    <w:rsid w:val="0052096A"/>
    <w:rsid w:val="0052328E"/>
    <w:rsid w:val="005417FE"/>
    <w:rsid w:val="00565965"/>
    <w:rsid w:val="00575064"/>
    <w:rsid w:val="005819D7"/>
    <w:rsid w:val="005B3F4D"/>
    <w:rsid w:val="005C29F2"/>
    <w:rsid w:val="005D067C"/>
    <w:rsid w:val="005D6DDF"/>
    <w:rsid w:val="005F426B"/>
    <w:rsid w:val="00602F96"/>
    <w:rsid w:val="00681145"/>
    <w:rsid w:val="0068314C"/>
    <w:rsid w:val="00690328"/>
    <w:rsid w:val="0073064E"/>
    <w:rsid w:val="00756D18"/>
    <w:rsid w:val="0078682A"/>
    <w:rsid w:val="00787A68"/>
    <w:rsid w:val="007E793B"/>
    <w:rsid w:val="007F27FA"/>
    <w:rsid w:val="00857185"/>
    <w:rsid w:val="008624A9"/>
    <w:rsid w:val="00893EFC"/>
    <w:rsid w:val="0093074E"/>
    <w:rsid w:val="0094135A"/>
    <w:rsid w:val="00947676"/>
    <w:rsid w:val="00984FE1"/>
    <w:rsid w:val="009905AB"/>
    <w:rsid w:val="009B0D08"/>
    <w:rsid w:val="00A268CB"/>
    <w:rsid w:val="00A34DC6"/>
    <w:rsid w:val="00A435D1"/>
    <w:rsid w:val="00A55BE8"/>
    <w:rsid w:val="00A65F0B"/>
    <w:rsid w:val="00A7421A"/>
    <w:rsid w:val="00A96231"/>
    <w:rsid w:val="00AA4ECA"/>
    <w:rsid w:val="00B0080A"/>
    <w:rsid w:val="00B07756"/>
    <w:rsid w:val="00B233B0"/>
    <w:rsid w:val="00B329CC"/>
    <w:rsid w:val="00B42670"/>
    <w:rsid w:val="00B446E1"/>
    <w:rsid w:val="00B63C51"/>
    <w:rsid w:val="00B75F25"/>
    <w:rsid w:val="00BC41C0"/>
    <w:rsid w:val="00BF1AE9"/>
    <w:rsid w:val="00C0684A"/>
    <w:rsid w:val="00C34487"/>
    <w:rsid w:val="00C87D9E"/>
    <w:rsid w:val="00CA0649"/>
    <w:rsid w:val="00CA77B5"/>
    <w:rsid w:val="00CB2952"/>
    <w:rsid w:val="00CE13A1"/>
    <w:rsid w:val="00D03A6E"/>
    <w:rsid w:val="00D4596C"/>
    <w:rsid w:val="00D57291"/>
    <w:rsid w:val="00D70BFC"/>
    <w:rsid w:val="00DC571F"/>
    <w:rsid w:val="00DE10C1"/>
    <w:rsid w:val="00DE4957"/>
    <w:rsid w:val="00DE6658"/>
    <w:rsid w:val="00E73641"/>
    <w:rsid w:val="00E740D0"/>
    <w:rsid w:val="00E84D42"/>
    <w:rsid w:val="00EB6C49"/>
    <w:rsid w:val="00EB7935"/>
    <w:rsid w:val="00EF642E"/>
    <w:rsid w:val="00F06BAC"/>
    <w:rsid w:val="00F40727"/>
    <w:rsid w:val="00F51AC9"/>
    <w:rsid w:val="00FA319F"/>
    <w:rsid w:val="00FC2077"/>
    <w:rsid w:val="00FE2E23"/>
    <w:rsid w:val="00FF12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0D08"/>
    <w:pPr>
      <w:ind w:left="720"/>
      <w:contextualSpacing/>
    </w:pPr>
  </w:style>
  <w:style w:type="paragraph" w:styleId="Tekstbalonia">
    <w:name w:val="Balloon Text"/>
    <w:basedOn w:val="Normal"/>
    <w:link w:val="TekstbaloniaChar"/>
    <w:uiPriority w:val="99"/>
    <w:semiHidden/>
    <w:unhideWhenUsed/>
    <w:rsid w:val="00CA77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77B5"/>
    <w:rPr>
      <w:rFonts w:ascii="Segoe UI" w:hAnsi="Segoe UI" w:cs="Segoe UI"/>
      <w:sz w:val="18"/>
      <w:szCs w:val="18"/>
    </w:rPr>
  </w:style>
  <w:style w:type="paragraph" w:styleId="Zaglavlje">
    <w:name w:val="header"/>
    <w:basedOn w:val="Normal"/>
    <w:link w:val="ZaglavljeChar"/>
    <w:uiPriority w:val="99"/>
    <w:unhideWhenUsed/>
    <w:rsid w:val="00AA4E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4ECA"/>
  </w:style>
  <w:style w:type="paragraph" w:styleId="Podnoje">
    <w:name w:val="footer"/>
    <w:basedOn w:val="Normal"/>
    <w:link w:val="PodnojeChar"/>
    <w:uiPriority w:val="99"/>
    <w:unhideWhenUsed/>
    <w:rsid w:val="00AA4E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4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0D08"/>
    <w:pPr>
      <w:ind w:left="720"/>
      <w:contextualSpacing/>
    </w:pPr>
  </w:style>
  <w:style w:type="paragraph" w:styleId="Tekstbalonia">
    <w:name w:val="Balloon Text"/>
    <w:basedOn w:val="Normal"/>
    <w:link w:val="TekstbaloniaChar"/>
    <w:uiPriority w:val="99"/>
    <w:semiHidden/>
    <w:unhideWhenUsed/>
    <w:rsid w:val="00CA77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77B5"/>
    <w:rPr>
      <w:rFonts w:ascii="Segoe UI" w:hAnsi="Segoe UI" w:cs="Segoe UI"/>
      <w:sz w:val="18"/>
      <w:szCs w:val="18"/>
    </w:rPr>
  </w:style>
  <w:style w:type="paragraph" w:styleId="Zaglavlje">
    <w:name w:val="header"/>
    <w:basedOn w:val="Normal"/>
    <w:link w:val="ZaglavljeChar"/>
    <w:uiPriority w:val="99"/>
    <w:unhideWhenUsed/>
    <w:rsid w:val="00AA4E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4ECA"/>
  </w:style>
  <w:style w:type="paragraph" w:styleId="Podnoje">
    <w:name w:val="footer"/>
    <w:basedOn w:val="Normal"/>
    <w:link w:val="PodnojeChar"/>
    <w:uiPriority w:val="99"/>
    <w:unhideWhenUsed/>
    <w:rsid w:val="00AA4E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7038">
      <w:bodyDiv w:val="1"/>
      <w:marLeft w:val="0"/>
      <w:marRight w:val="0"/>
      <w:marTop w:val="0"/>
      <w:marBottom w:val="0"/>
      <w:divBdr>
        <w:top w:val="none" w:sz="0" w:space="0" w:color="auto"/>
        <w:left w:val="none" w:sz="0" w:space="0" w:color="auto"/>
        <w:bottom w:val="none" w:sz="0" w:space="0" w:color="auto"/>
        <w:right w:val="none" w:sz="0" w:space="0" w:color="auto"/>
      </w:divBdr>
      <w:divsChild>
        <w:div w:id="1899394325">
          <w:marLeft w:val="0"/>
          <w:marRight w:val="0"/>
          <w:marTop w:val="0"/>
          <w:marBottom w:val="0"/>
          <w:divBdr>
            <w:top w:val="none" w:sz="0" w:space="0" w:color="auto"/>
            <w:left w:val="none" w:sz="0" w:space="0" w:color="auto"/>
            <w:bottom w:val="none" w:sz="0" w:space="0" w:color="auto"/>
            <w:right w:val="none" w:sz="0" w:space="0" w:color="auto"/>
          </w:divBdr>
          <w:divsChild>
            <w:div w:id="9169366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Broj zaposlenih (</a:t>
            </a:r>
            <a:r>
              <a:rPr lang="hr-HR"/>
              <a:t>bez koncesija</a:t>
            </a:r>
            <a:r>
              <a:rPr lang="en-US"/>
              <a:t>)</a:t>
            </a:r>
          </a:p>
        </c:rich>
      </c:tx>
      <c:overlay val="0"/>
    </c:title>
    <c:autoTitleDeleted val="0"/>
    <c:plotArea>
      <c:layout/>
      <c:lineChart>
        <c:grouping val="standard"/>
        <c:varyColors val="0"/>
        <c:ser>
          <c:idx val="0"/>
          <c:order val="0"/>
          <c:tx>
            <c:strRef>
              <c:f>Primarna!$B$10</c:f>
              <c:strCache>
                <c:ptCount val="1"/>
                <c:pt idx="0">
                  <c:v>Broj zaposlenih (3+4)</c:v>
                </c:pt>
              </c:strCache>
            </c:strRef>
          </c:tx>
          <c:marker>
            <c:symbol val="none"/>
          </c:marker>
          <c:dLbls>
            <c:dLbl>
              <c:idx val="0"/>
              <c:layout>
                <c:manualLayout>
                  <c:x val="-2.6578073089700997E-2"/>
                  <c:y val="-3.2096292246428758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8054632705795498E-2"/>
                  <c:y val="-3.74456742875001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Primarna!$C$4:$O$5</c:f>
              <c:multiLvlStrCache>
                <c:ptCount val="13"/>
                <c:lvl>
                  <c:pt idx="0">
                    <c:v>travanj</c:v>
                  </c:pt>
                  <c:pt idx="1">
                    <c:v>svibanj</c:v>
                  </c:pt>
                  <c:pt idx="2">
                    <c:v>lipanj</c:v>
                  </c:pt>
                  <c:pt idx="3">
                    <c:v>srpanj</c:v>
                  </c:pt>
                  <c:pt idx="4">
                    <c:v>kolovoz</c:v>
                  </c:pt>
                  <c:pt idx="5">
                    <c:v>rujan</c:v>
                  </c:pt>
                  <c:pt idx="6">
                    <c:v>listopad</c:v>
                  </c:pt>
                  <c:pt idx="7">
                    <c:v>studeni</c:v>
                  </c:pt>
                  <c:pt idx="8">
                    <c:v>prosinac</c:v>
                  </c:pt>
                  <c:pt idx="9">
                    <c:v>siječanj</c:v>
                  </c:pt>
                  <c:pt idx="10">
                    <c:v>veljača</c:v>
                  </c:pt>
                  <c:pt idx="11">
                    <c:v>ožujak</c:v>
                  </c:pt>
                  <c:pt idx="12">
                    <c:v>travanj</c:v>
                  </c:pt>
                </c:lvl>
                <c:lvl>
                  <c:pt idx="0">
                    <c:v>2016.</c:v>
                  </c:pt>
                  <c:pt idx="9">
                    <c:v>2017.</c:v>
                  </c:pt>
                </c:lvl>
              </c:multiLvlStrCache>
            </c:multiLvlStrRef>
          </c:cat>
          <c:val>
            <c:numRef>
              <c:f>Primarna!$C$10:$O$10</c:f>
              <c:numCache>
                <c:formatCode>#,##0</c:formatCode>
                <c:ptCount val="13"/>
                <c:pt idx="0">
                  <c:v>8606</c:v>
                </c:pt>
                <c:pt idx="1">
                  <c:v>8498</c:v>
                </c:pt>
                <c:pt idx="2">
                  <c:v>8578</c:v>
                </c:pt>
                <c:pt idx="3">
                  <c:v>8655</c:v>
                </c:pt>
                <c:pt idx="4">
                  <c:v>8739</c:v>
                </c:pt>
                <c:pt idx="5">
                  <c:v>8696</c:v>
                </c:pt>
                <c:pt idx="6">
                  <c:v>8671</c:v>
                </c:pt>
                <c:pt idx="7">
                  <c:v>8663</c:v>
                </c:pt>
                <c:pt idx="8">
                  <c:v>8750</c:v>
                </c:pt>
                <c:pt idx="9">
                  <c:v>8771</c:v>
                </c:pt>
                <c:pt idx="10">
                  <c:v>8792</c:v>
                </c:pt>
                <c:pt idx="11">
                  <c:v>8878</c:v>
                </c:pt>
                <c:pt idx="12">
                  <c:v>8899</c:v>
                </c:pt>
              </c:numCache>
            </c:numRef>
          </c:val>
          <c:smooth val="0"/>
        </c:ser>
        <c:dLbls>
          <c:showLegendKey val="0"/>
          <c:showVal val="0"/>
          <c:showCatName val="0"/>
          <c:showSerName val="0"/>
          <c:showPercent val="0"/>
          <c:showBubbleSize val="0"/>
        </c:dLbls>
        <c:marker val="1"/>
        <c:smooth val="0"/>
        <c:axId val="141751040"/>
        <c:axId val="141752576"/>
      </c:lineChart>
      <c:catAx>
        <c:axId val="141751040"/>
        <c:scaling>
          <c:orientation val="minMax"/>
        </c:scaling>
        <c:delete val="0"/>
        <c:axPos val="b"/>
        <c:numFmt formatCode="General" sourceLinked="0"/>
        <c:majorTickMark val="out"/>
        <c:minorTickMark val="none"/>
        <c:tickLblPos val="nextTo"/>
        <c:crossAx val="141752576"/>
        <c:crosses val="autoZero"/>
        <c:auto val="1"/>
        <c:lblAlgn val="ctr"/>
        <c:lblOffset val="100"/>
        <c:noMultiLvlLbl val="0"/>
      </c:catAx>
      <c:valAx>
        <c:axId val="141752576"/>
        <c:scaling>
          <c:orientation val="minMax"/>
        </c:scaling>
        <c:delete val="0"/>
        <c:axPos val="l"/>
        <c:majorGridlines/>
        <c:numFmt formatCode="#,##0" sourceLinked="1"/>
        <c:majorTickMark val="out"/>
        <c:minorTickMark val="none"/>
        <c:tickLblPos val="nextTo"/>
        <c:crossAx val="141751040"/>
        <c:crosses val="autoZero"/>
        <c:crossBetween val="between"/>
      </c:valAx>
    </c:plotArea>
    <c:plotVisOnly val="1"/>
    <c:dispBlanksAs val="gap"/>
    <c:showDLblsOverMax val="0"/>
  </c:chart>
  <c:txPr>
    <a:bodyPr/>
    <a:lstStyle/>
    <a:p>
      <a:pPr>
        <a:defRPr sz="800"/>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Ukupan broj zaposlenika (</a:t>
            </a:r>
            <a:r>
              <a:rPr lang="hr-HR"/>
              <a:t>sa koncesijama</a:t>
            </a:r>
            <a:r>
              <a:rPr lang="en-US"/>
              <a:t>)</a:t>
            </a:r>
          </a:p>
        </c:rich>
      </c:tx>
      <c:overlay val="0"/>
    </c:title>
    <c:autoTitleDeleted val="0"/>
    <c:plotArea>
      <c:layout/>
      <c:lineChart>
        <c:grouping val="standard"/>
        <c:varyColors val="0"/>
        <c:ser>
          <c:idx val="0"/>
          <c:order val="0"/>
          <c:tx>
            <c:strRef>
              <c:f>Primarna!$B$12</c:f>
              <c:strCache>
                <c:ptCount val="1"/>
                <c:pt idx="0">
                  <c:v>Ukupan broj zaposlenika (5+6)</c:v>
                </c:pt>
              </c:strCache>
            </c:strRef>
          </c:tx>
          <c:marker>
            <c:symbol val="none"/>
          </c:marker>
          <c:dLbls>
            <c:dLbl>
              <c:idx val="0"/>
              <c:layout>
                <c:manualLayout>
                  <c:x val="-2.159827213822894E-2"/>
                  <c:y val="-3.388726317144138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7278617710583154E-2"/>
                  <c:y val="-3.9100688274740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Primarna!$C$4:$O$5</c:f>
              <c:multiLvlStrCache>
                <c:ptCount val="13"/>
                <c:lvl>
                  <c:pt idx="0">
                    <c:v>travanj</c:v>
                  </c:pt>
                  <c:pt idx="1">
                    <c:v>svibanj</c:v>
                  </c:pt>
                  <c:pt idx="2">
                    <c:v>lipanj</c:v>
                  </c:pt>
                  <c:pt idx="3">
                    <c:v>srpanj</c:v>
                  </c:pt>
                  <c:pt idx="4">
                    <c:v>kolovoz</c:v>
                  </c:pt>
                  <c:pt idx="5">
                    <c:v>rujan</c:v>
                  </c:pt>
                  <c:pt idx="6">
                    <c:v>listopad</c:v>
                  </c:pt>
                  <c:pt idx="7">
                    <c:v>studeni</c:v>
                  </c:pt>
                  <c:pt idx="8">
                    <c:v>prosinac</c:v>
                  </c:pt>
                  <c:pt idx="9">
                    <c:v>siječanj</c:v>
                  </c:pt>
                  <c:pt idx="10">
                    <c:v>veljača</c:v>
                  </c:pt>
                  <c:pt idx="11">
                    <c:v>ožujak</c:v>
                  </c:pt>
                  <c:pt idx="12">
                    <c:v>travanj</c:v>
                  </c:pt>
                </c:lvl>
                <c:lvl>
                  <c:pt idx="0">
                    <c:v>2016.</c:v>
                  </c:pt>
                  <c:pt idx="9">
                    <c:v>2017.</c:v>
                  </c:pt>
                </c:lvl>
              </c:multiLvlStrCache>
            </c:multiLvlStrRef>
          </c:cat>
          <c:val>
            <c:numRef>
              <c:f>Primarna!$C$12:$O$12</c:f>
              <c:numCache>
                <c:formatCode>#,##0</c:formatCode>
                <c:ptCount val="13"/>
                <c:pt idx="0">
                  <c:v>20154</c:v>
                </c:pt>
                <c:pt idx="1">
                  <c:v>20009</c:v>
                </c:pt>
                <c:pt idx="2">
                  <c:v>20088</c:v>
                </c:pt>
                <c:pt idx="3">
                  <c:v>20158</c:v>
                </c:pt>
                <c:pt idx="4">
                  <c:v>20227</c:v>
                </c:pt>
                <c:pt idx="5">
                  <c:v>20161</c:v>
                </c:pt>
                <c:pt idx="6">
                  <c:v>20135</c:v>
                </c:pt>
                <c:pt idx="7">
                  <c:v>20136</c:v>
                </c:pt>
                <c:pt idx="8">
                  <c:v>20220</c:v>
                </c:pt>
                <c:pt idx="9">
                  <c:v>20239</c:v>
                </c:pt>
                <c:pt idx="10">
                  <c:v>20191</c:v>
                </c:pt>
                <c:pt idx="11">
                  <c:v>20252</c:v>
                </c:pt>
                <c:pt idx="12">
                  <c:v>20245</c:v>
                </c:pt>
              </c:numCache>
            </c:numRef>
          </c:val>
          <c:smooth val="0"/>
        </c:ser>
        <c:dLbls>
          <c:showLegendKey val="0"/>
          <c:showVal val="0"/>
          <c:showCatName val="0"/>
          <c:showSerName val="0"/>
          <c:showPercent val="0"/>
          <c:showBubbleSize val="0"/>
        </c:dLbls>
        <c:marker val="1"/>
        <c:smooth val="0"/>
        <c:axId val="141978240"/>
        <c:axId val="143405440"/>
      </c:lineChart>
      <c:catAx>
        <c:axId val="141978240"/>
        <c:scaling>
          <c:orientation val="minMax"/>
        </c:scaling>
        <c:delete val="0"/>
        <c:axPos val="b"/>
        <c:numFmt formatCode="General" sourceLinked="0"/>
        <c:majorTickMark val="out"/>
        <c:minorTickMark val="none"/>
        <c:tickLblPos val="nextTo"/>
        <c:crossAx val="143405440"/>
        <c:crosses val="autoZero"/>
        <c:auto val="1"/>
        <c:lblAlgn val="ctr"/>
        <c:lblOffset val="100"/>
        <c:noMultiLvlLbl val="0"/>
      </c:catAx>
      <c:valAx>
        <c:axId val="143405440"/>
        <c:scaling>
          <c:orientation val="minMax"/>
        </c:scaling>
        <c:delete val="0"/>
        <c:axPos val="l"/>
        <c:majorGridlines/>
        <c:numFmt formatCode="#,##0" sourceLinked="1"/>
        <c:majorTickMark val="out"/>
        <c:minorTickMark val="none"/>
        <c:tickLblPos val="nextTo"/>
        <c:crossAx val="141978240"/>
        <c:crosses val="autoZero"/>
        <c:crossBetween val="between"/>
      </c:valAx>
    </c:plotArea>
    <c:plotVisOnly val="1"/>
    <c:dispBlanksAs val="gap"/>
    <c:showDLblsOverMax val="0"/>
  </c:chart>
  <c:txPr>
    <a:bodyPr/>
    <a:lstStyle/>
    <a:p>
      <a:pPr>
        <a:defRPr sz="800"/>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'Sve zdr. ustanove'!$B$7</c:f>
              <c:strCache>
                <c:ptCount val="1"/>
                <c:pt idx="0">
                  <c:v>Broj liječnika</c:v>
                </c:pt>
              </c:strCache>
            </c:strRef>
          </c:tx>
          <c:marker>
            <c:symbol val="none"/>
          </c:marker>
          <c:dLbls>
            <c:dLbl>
              <c:idx val="0"/>
              <c:layout>
                <c:manualLayout>
                  <c:x val="-3.1545727078201788E-2"/>
                  <c:y val="-2.981597970037608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4376243651337746E-2"/>
                  <c:y val="-2.71054360912509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'Sve zdr. ustanove'!$C$5:$O$6</c:f>
              <c:multiLvlStrCache>
                <c:ptCount val="13"/>
                <c:lvl>
                  <c:pt idx="0">
                    <c:v>travanj</c:v>
                  </c:pt>
                  <c:pt idx="1">
                    <c:v>svibanj</c:v>
                  </c:pt>
                  <c:pt idx="2">
                    <c:v>lipanj</c:v>
                  </c:pt>
                  <c:pt idx="3">
                    <c:v>srpanj</c:v>
                  </c:pt>
                  <c:pt idx="4">
                    <c:v>kolovoz</c:v>
                  </c:pt>
                  <c:pt idx="5">
                    <c:v>rujan</c:v>
                  </c:pt>
                  <c:pt idx="6">
                    <c:v>listopad</c:v>
                  </c:pt>
                  <c:pt idx="7">
                    <c:v>studeni</c:v>
                  </c:pt>
                  <c:pt idx="8">
                    <c:v>prosinac</c:v>
                  </c:pt>
                  <c:pt idx="9">
                    <c:v>siječanj</c:v>
                  </c:pt>
                  <c:pt idx="10">
                    <c:v>veljača</c:v>
                  </c:pt>
                  <c:pt idx="11">
                    <c:v>ožujak</c:v>
                  </c:pt>
                  <c:pt idx="12">
                    <c:v>travanj</c:v>
                  </c:pt>
                </c:lvl>
                <c:lvl>
                  <c:pt idx="0">
                    <c:v>2016.</c:v>
                  </c:pt>
                  <c:pt idx="9">
                    <c:v>2017.</c:v>
                  </c:pt>
                </c:lvl>
              </c:multiLvlStrCache>
            </c:multiLvlStrRef>
          </c:cat>
          <c:val>
            <c:numRef>
              <c:f>'Sve zdr. ustanove'!$C$7:$O$7</c:f>
              <c:numCache>
                <c:formatCode>#,##0</c:formatCode>
                <c:ptCount val="13"/>
                <c:pt idx="0">
                  <c:v>11711</c:v>
                </c:pt>
                <c:pt idx="1">
                  <c:v>11729</c:v>
                </c:pt>
                <c:pt idx="2">
                  <c:v>11848</c:v>
                </c:pt>
                <c:pt idx="3">
                  <c:v>11941</c:v>
                </c:pt>
                <c:pt idx="4">
                  <c:v>12003</c:v>
                </c:pt>
                <c:pt idx="5">
                  <c:v>11990</c:v>
                </c:pt>
                <c:pt idx="6">
                  <c:v>11902</c:v>
                </c:pt>
                <c:pt idx="7">
                  <c:v>11925</c:v>
                </c:pt>
                <c:pt idx="8">
                  <c:v>11928</c:v>
                </c:pt>
                <c:pt idx="9">
                  <c:v>11922</c:v>
                </c:pt>
                <c:pt idx="10">
                  <c:v>11963</c:v>
                </c:pt>
                <c:pt idx="11">
                  <c:v>12007</c:v>
                </c:pt>
                <c:pt idx="12">
                  <c:v>12023</c:v>
                </c:pt>
              </c:numCache>
            </c:numRef>
          </c:val>
          <c:smooth val="0"/>
        </c:ser>
        <c:dLbls>
          <c:showLegendKey val="0"/>
          <c:showVal val="0"/>
          <c:showCatName val="0"/>
          <c:showSerName val="0"/>
          <c:showPercent val="0"/>
          <c:showBubbleSize val="0"/>
        </c:dLbls>
        <c:marker val="1"/>
        <c:smooth val="0"/>
        <c:axId val="143438592"/>
        <c:axId val="143440128"/>
      </c:lineChart>
      <c:catAx>
        <c:axId val="143438592"/>
        <c:scaling>
          <c:orientation val="minMax"/>
        </c:scaling>
        <c:delete val="0"/>
        <c:axPos val="b"/>
        <c:numFmt formatCode="General" sourceLinked="0"/>
        <c:majorTickMark val="out"/>
        <c:minorTickMark val="none"/>
        <c:tickLblPos val="nextTo"/>
        <c:crossAx val="143440128"/>
        <c:crosses val="autoZero"/>
        <c:auto val="1"/>
        <c:lblAlgn val="ctr"/>
        <c:lblOffset val="100"/>
        <c:noMultiLvlLbl val="0"/>
      </c:catAx>
      <c:valAx>
        <c:axId val="143440128"/>
        <c:scaling>
          <c:orientation val="minMax"/>
        </c:scaling>
        <c:delete val="0"/>
        <c:axPos val="l"/>
        <c:majorGridlines/>
        <c:numFmt formatCode="#,##0" sourceLinked="1"/>
        <c:majorTickMark val="out"/>
        <c:minorTickMark val="none"/>
        <c:tickLblPos val="nextTo"/>
        <c:crossAx val="143438592"/>
        <c:crosses val="autoZero"/>
        <c:crossBetween val="between"/>
      </c:valAx>
    </c:plotArea>
    <c:plotVisOnly val="1"/>
    <c:dispBlanksAs val="gap"/>
    <c:showDLblsOverMax val="0"/>
  </c:chart>
  <c:txPr>
    <a:bodyPr/>
    <a:lstStyle/>
    <a:p>
      <a:pPr>
        <a:defRPr sz="800"/>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a:t>B</a:t>
            </a:r>
            <a:r>
              <a:rPr lang="en-US"/>
              <a:t>roj medicinskih sestara</a:t>
            </a:r>
          </a:p>
        </c:rich>
      </c:tx>
      <c:overlay val="0"/>
    </c:title>
    <c:autoTitleDeleted val="0"/>
    <c:plotArea>
      <c:layout/>
      <c:lineChart>
        <c:grouping val="standard"/>
        <c:varyColors val="0"/>
        <c:ser>
          <c:idx val="0"/>
          <c:order val="0"/>
          <c:tx>
            <c:strRef>
              <c:f>'Sve zdr. ustanove'!$B$8</c:f>
              <c:strCache>
                <c:ptCount val="1"/>
                <c:pt idx="0">
                  <c:v>broj medicinskih sestara</c:v>
                </c:pt>
              </c:strCache>
            </c:strRef>
          </c:tx>
          <c:marker>
            <c:symbol val="none"/>
          </c:marker>
          <c:dLbls>
            <c:dLbl>
              <c:idx val="0"/>
              <c:layout>
                <c:manualLayout>
                  <c:x val="-3.1268359316241764E-2"/>
                  <c:y val="-3.550642081099620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0845572877494507E-2"/>
                  <c:y val="-2.53617291507115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'Sve zdr. ustanove'!$C$5:$O$6</c:f>
              <c:multiLvlStrCache>
                <c:ptCount val="13"/>
                <c:lvl>
                  <c:pt idx="0">
                    <c:v>travanj</c:v>
                  </c:pt>
                  <c:pt idx="1">
                    <c:v>svibanj</c:v>
                  </c:pt>
                  <c:pt idx="2">
                    <c:v>lipanj</c:v>
                  </c:pt>
                  <c:pt idx="3">
                    <c:v>srpanj</c:v>
                  </c:pt>
                  <c:pt idx="4">
                    <c:v>kolovoz</c:v>
                  </c:pt>
                  <c:pt idx="5">
                    <c:v>rujan</c:v>
                  </c:pt>
                  <c:pt idx="6">
                    <c:v>listopad</c:v>
                  </c:pt>
                  <c:pt idx="7">
                    <c:v>studeni</c:v>
                  </c:pt>
                  <c:pt idx="8">
                    <c:v>prosinac</c:v>
                  </c:pt>
                  <c:pt idx="9">
                    <c:v>siječanj</c:v>
                  </c:pt>
                  <c:pt idx="10">
                    <c:v>veljača</c:v>
                  </c:pt>
                  <c:pt idx="11">
                    <c:v>ožujak</c:v>
                  </c:pt>
                  <c:pt idx="12">
                    <c:v>travanj</c:v>
                  </c:pt>
                </c:lvl>
                <c:lvl>
                  <c:pt idx="0">
                    <c:v>2016.</c:v>
                  </c:pt>
                  <c:pt idx="9">
                    <c:v>2017.</c:v>
                  </c:pt>
                </c:lvl>
              </c:multiLvlStrCache>
            </c:multiLvlStrRef>
          </c:cat>
          <c:val>
            <c:numRef>
              <c:f>'Sve zdr. ustanove'!$C$8:$O$8</c:f>
              <c:numCache>
                <c:formatCode>#,##0</c:formatCode>
                <c:ptCount val="13"/>
                <c:pt idx="0">
                  <c:v>22586</c:v>
                </c:pt>
                <c:pt idx="1">
                  <c:v>22681</c:v>
                </c:pt>
                <c:pt idx="2">
                  <c:v>22729</c:v>
                </c:pt>
                <c:pt idx="3">
                  <c:v>22845</c:v>
                </c:pt>
                <c:pt idx="4">
                  <c:v>22961</c:v>
                </c:pt>
                <c:pt idx="5">
                  <c:v>23050</c:v>
                </c:pt>
                <c:pt idx="6">
                  <c:v>23023</c:v>
                </c:pt>
                <c:pt idx="7">
                  <c:v>23156</c:v>
                </c:pt>
                <c:pt idx="8">
                  <c:v>23254</c:v>
                </c:pt>
                <c:pt idx="9">
                  <c:v>23333</c:v>
                </c:pt>
                <c:pt idx="10">
                  <c:v>23360</c:v>
                </c:pt>
                <c:pt idx="11">
                  <c:v>23373</c:v>
                </c:pt>
                <c:pt idx="12">
                  <c:v>23429</c:v>
                </c:pt>
              </c:numCache>
            </c:numRef>
          </c:val>
          <c:smooth val="0"/>
        </c:ser>
        <c:dLbls>
          <c:showLegendKey val="0"/>
          <c:showVal val="0"/>
          <c:showCatName val="0"/>
          <c:showSerName val="0"/>
          <c:showPercent val="0"/>
          <c:showBubbleSize val="0"/>
        </c:dLbls>
        <c:marker val="1"/>
        <c:smooth val="0"/>
        <c:axId val="145078912"/>
        <c:axId val="145133952"/>
      </c:lineChart>
      <c:catAx>
        <c:axId val="145078912"/>
        <c:scaling>
          <c:orientation val="minMax"/>
        </c:scaling>
        <c:delete val="0"/>
        <c:axPos val="b"/>
        <c:numFmt formatCode="General" sourceLinked="0"/>
        <c:majorTickMark val="out"/>
        <c:minorTickMark val="none"/>
        <c:tickLblPos val="nextTo"/>
        <c:crossAx val="145133952"/>
        <c:crosses val="autoZero"/>
        <c:auto val="1"/>
        <c:lblAlgn val="ctr"/>
        <c:lblOffset val="100"/>
        <c:noMultiLvlLbl val="0"/>
      </c:catAx>
      <c:valAx>
        <c:axId val="145133952"/>
        <c:scaling>
          <c:orientation val="minMax"/>
        </c:scaling>
        <c:delete val="0"/>
        <c:axPos val="l"/>
        <c:majorGridlines/>
        <c:numFmt formatCode="#,##0" sourceLinked="1"/>
        <c:majorTickMark val="out"/>
        <c:minorTickMark val="none"/>
        <c:tickLblPos val="nextTo"/>
        <c:crossAx val="145078912"/>
        <c:crosses val="autoZero"/>
        <c:crossBetween val="between"/>
      </c:valAx>
    </c:plotArea>
    <c:plotVisOnly val="1"/>
    <c:dispBlanksAs val="gap"/>
    <c:showDLblsOverMax val="0"/>
  </c:chart>
  <c:txPr>
    <a:bodyPr/>
    <a:lstStyle/>
    <a:p>
      <a:pPr>
        <a:defRPr sz="800"/>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rilagođeni dizaj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rilagođeni dizaj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rilagođeni dizaj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rilagođeni dizaj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2033-A115-439E-A4C2-BA59E4A9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4717</Words>
  <Characters>26888</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4</cp:revision>
  <cp:lastPrinted>2017-07-12T09:51:00Z</cp:lastPrinted>
  <dcterms:created xsi:type="dcterms:W3CDTF">2017-07-13T11:01:00Z</dcterms:created>
  <dcterms:modified xsi:type="dcterms:W3CDTF">2017-07-17T11:52:00Z</dcterms:modified>
</cp:coreProperties>
</file>